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E1" w:rsidRDefault="008A66E1" w:rsidP="008A66E1">
      <w:pPr>
        <w:tabs>
          <w:tab w:val="left" w:pos="0"/>
        </w:tabs>
        <w:spacing w:line="276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A62953" w:rsidRPr="009A425F" w:rsidRDefault="00A62953" w:rsidP="008A66E1">
      <w:pPr>
        <w:tabs>
          <w:tab w:val="left" w:pos="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9A425F">
        <w:rPr>
          <w:rFonts w:ascii="Calibri" w:hAnsi="Calibri" w:cs="Calibri"/>
          <w:sz w:val="22"/>
          <w:szCs w:val="22"/>
        </w:rPr>
        <w:t>TISKOVÁ ZPRÁVA, Praha, 8. prosince 2011</w:t>
      </w:r>
    </w:p>
    <w:p w:rsidR="008A66E1" w:rsidRDefault="008A66E1" w:rsidP="008A66E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DE2A78" w:rsidRDefault="00DE2A78" w:rsidP="008A66E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E22D31" w:rsidRPr="00EB0A59" w:rsidRDefault="00E22D31" w:rsidP="008A66E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EB0A59">
        <w:rPr>
          <w:rFonts w:ascii="Calibri" w:hAnsi="Calibri" w:cs="Calibri"/>
          <w:b/>
          <w:sz w:val="22"/>
          <w:szCs w:val="22"/>
        </w:rPr>
        <w:t>Institucionální pilíře České republiky neposkytují dostatečnou podporu v protikorupčním boji</w:t>
      </w:r>
    </w:p>
    <w:p w:rsidR="00E22D31" w:rsidRPr="009A425F" w:rsidRDefault="00E22D31" w:rsidP="008A66E1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A62953" w:rsidRPr="009A425F" w:rsidRDefault="00E22D31" w:rsidP="008A66E1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  <w:r w:rsidRPr="009A425F">
        <w:rPr>
          <w:rFonts w:ascii="Calibri" w:hAnsi="Calibri" w:cs="Calibri"/>
          <w:b/>
          <w:i/>
          <w:sz w:val="22"/>
          <w:szCs w:val="22"/>
        </w:rPr>
        <w:t xml:space="preserve">Studie národní integrity zpracovaná Transparency International ukazuje, že klíčové instituce státu </w:t>
      </w:r>
      <w:r w:rsidR="000C5E81">
        <w:rPr>
          <w:rFonts w:ascii="Calibri" w:hAnsi="Calibri" w:cs="Calibri"/>
          <w:b/>
          <w:i/>
          <w:sz w:val="22"/>
          <w:szCs w:val="22"/>
        </w:rPr>
        <w:t xml:space="preserve">nejsou schopny odolávat korupci ani </w:t>
      </w:r>
      <w:r w:rsidRPr="009A425F">
        <w:rPr>
          <w:rFonts w:ascii="Calibri" w:hAnsi="Calibri" w:cs="Calibri"/>
          <w:b/>
          <w:i/>
          <w:sz w:val="22"/>
          <w:szCs w:val="22"/>
        </w:rPr>
        <w:t xml:space="preserve">neplní svoji roli při </w:t>
      </w:r>
      <w:r w:rsidR="000C5E81">
        <w:rPr>
          <w:rFonts w:ascii="Calibri" w:hAnsi="Calibri" w:cs="Calibri"/>
          <w:b/>
          <w:i/>
          <w:sz w:val="22"/>
          <w:szCs w:val="22"/>
        </w:rPr>
        <w:t xml:space="preserve">jejím </w:t>
      </w:r>
      <w:r w:rsidRPr="009A425F">
        <w:rPr>
          <w:rFonts w:ascii="Calibri" w:hAnsi="Calibri" w:cs="Calibri"/>
          <w:b/>
          <w:i/>
          <w:sz w:val="22"/>
          <w:szCs w:val="22"/>
        </w:rPr>
        <w:t>potlačování.</w:t>
      </w:r>
      <w:r w:rsidR="00EB0A59">
        <w:rPr>
          <w:rFonts w:ascii="Calibri" w:hAnsi="Calibri" w:cs="Calibri"/>
          <w:b/>
          <w:i/>
          <w:sz w:val="22"/>
          <w:szCs w:val="22"/>
        </w:rPr>
        <w:t xml:space="preserve"> N</w:t>
      </w:r>
      <w:r w:rsidR="00A62953" w:rsidRPr="009A425F">
        <w:rPr>
          <w:rFonts w:ascii="Calibri" w:hAnsi="Calibri" w:cs="Calibri"/>
          <w:b/>
          <w:i/>
          <w:sz w:val="22"/>
          <w:szCs w:val="22"/>
        </w:rPr>
        <w:t>ejslabší</w:t>
      </w:r>
      <w:r w:rsidR="00EB0A59">
        <w:rPr>
          <w:rFonts w:ascii="Calibri" w:hAnsi="Calibri" w:cs="Calibri"/>
          <w:b/>
          <w:i/>
          <w:sz w:val="22"/>
          <w:szCs w:val="22"/>
        </w:rPr>
        <w:t>m</w:t>
      </w:r>
      <w:r w:rsidR="00DF2D19">
        <w:rPr>
          <w:rFonts w:ascii="Calibri" w:hAnsi="Calibri" w:cs="Calibri"/>
          <w:b/>
          <w:i/>
          <w:sz w:val="22"/>
          <w:szCs w:val="22"/>
        </w:rPr>
        <w:t>i</w:t>
      </w:r>
      <w:r w:rsidR="00A62953" w:rsidRPr="009A425F">
        <w:rPr>
          <w:rFonts w:ascii="Calibri" w:hAnsi="Calibri" w:cs="Calibri"/>
          <w:b/>
          <w:i/>
          <w:sz w:val="22"/>
          <w:szCs w:val="22"/>
        </w:rPr>
        <w:t xml:space="preserve"> článk</w:t>
      </w:r>
      <w:r w:rsidR="00DF2D19">
        <w:rPr>
          <w:rFonts w:ascii="Calibri" w:hAnsi="Calibri" w:cs="Calibri"/>
          <w:b/>
          <w:i/>
          <w:sz w:val="22"/>
          <w:szCs w:val="22"/>
        </w:rPr>
        <w:t>y</w:t>
      </w:r>
      <w:r w:rsidR="00A62953" w:rsidRPr="009A425F">
        <w:rPr>
          <w:rFonts w:ascii="Calibri" w:hAnsi="Calibri" w:cs="Calibri"/>
          <w:b/>
          <w:i/>
          <w:sz w:val="22"/>
          <w:szCs w:val="22"/>
        </w:rPr>
        <w:t xml:space="preserve"> v systému národní integrity </w:t>
      </w:r>
      <w:r w:rsidR="00EB0A59">
        <w:rPr>
          <w:rFonts w:ascii="Calibri" w:hAnsi="Calibri" w:cs="Calibri"/>
          <w:b/>
          <w:i/>
          <w:sz w:val="22"/>
          <w:szCs w:val="22"/>
        </w:rPr>
        <w:t>jsou podle studie</w:t>
      </w:r>
      <w:r w:rsidR="00A62953" w:rsidRPr="009A425F">
        <w:rPr>
          <w:rFonts w:ascii="Calibri" w:hAnsi="Calibri" w:cs="Calibri"/>
          <w:b/>
          <w:i/>
          <w:sz w:val="22"/>
          <w:szCs w:val="22"/>
        </w:rPr>
        <w:t xml:space="preserve"> státní zastupitelství</w:t>
      </w:r>
      <w:r w:rsidRPr="009A425F">
        <w:rPr>
          <w:rFonts w:ascii="Calibri" w:hAnsi="Calibri" w:cs="Calibri"/>
          <w:b/>
          <w:i/>
          <w:sz w:val="22"/>
          <w:szCs w:val="22"/>
        </w:rPr>
        <w:t xml:space="preserve"> a státní správa následovaná policií</w:t>
      </w:r>
      <w:r w:rsidR="00A62953" w:rsidRPr="009A425F">
        <w:rPr>
          <w:rFonts w:ascii="Calibri" w:hAnsi="Calibri" w:cs="Calibri"/>
          <w:b/>
          <w:i/>
          <w:sz w:val="22"/>
          <w:szCs w:val="22"/>
        </w:rPr>
        <w:t>.</w:t>
      </w:r>
      <w:r w:rsidR="004C35D1" w:rsidRPr="009A425F">
        <w:rPr>
          <w:rFonts w:ascii="Calibri" w:hAnsi="Calibri" w:cs="Calibri"/>
          <w:b/>
          <w:i/>
          <w:sz w:val="22"/>
          <w:szCs w:val="22"/>
        </w:rPr>
        <w:t xml:space="preserve"> Dobře je hodnocen </w:t>
      </w:r>
      <w:r w:rsidR="00E57D7A" w:rsidRPr="009A425F">
        <w:rPr>
          <w:rFonts w:ascii="Calibri" w:hAnsi="Calibri" w:cs="Calibri"/>
          <w:b/>
          <w:i/>
          <w:sz w:val="22"/>
          <w:szCs w:val="22"/>
        </w:rPr>
        <w:t xml:space="preserve">např. </w:t>
      </w:r>
      <w:r w:rsidR="00EB0A59">
        <w:rPr>
          <w:rFonts w:ascii="Calibri" w:hAnsi="Calibri" w:cs="Calibri"/>
          <w:b/>
          <w:i/>
          <w:sz w:val="22"/>
          <w:szCs w:val="22"/>
        </w:rPr>
        <w:t>ombudsman,</w:t>
      </w:r>
      <w:r w:rsidR="004C35D1" w:rsidRPr="009A425F">
        <w:rPr>
          <w:rFonts w:ascii="Calibri" w:hAnsi="Calibri" w:cs="Calibri"/>
          <w:b/>
          <w:i/>
          <w:sz w:val="22"/>
          <w:szCs w:val="22"/>
        </w:rPr>
        <w:t xml:space="preserve"> NKÚ</w:t>
      </w:r>
      <w:r w:rsidR="00E57D7A" w:rsidRPr="009A425F">
        <w:rPr>
          <w:rFonts w:ascii="Calibri" w:hAnsi="Calibri" w:cs="Calibri"/>
          <w:b/>
          <w:i/>
          <w:sz w:val="22"/>
          <w:szCs w:val="22"/>
        </w:rPr>
        <w:t xml:space="preserve"> či organizace voleb</w:t>
      </w:r>
      <w:r w:rsidR="004C35D1" w:rsidRPr="009A425F">
        <w:rPr>
          <w:rFonts w:ascii="Calibri" w:hAnsi="Calibri" w:cs="Calibri"/>
          <w:b/>
          <w:i/>
          <w:sz w:val="22"/>
          <w:szCs w:val="22"/>
        </w:rPr>
        <w:t>.</w:t>
      </w:r>
    </w:p>
    <w:p w:rsidR="00E22D31" w:rsidRPr="009A425F" w:rsidRDefault="00E22D31" w:rsidP="008A66E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A425F" w:rsidRDefault="00A57A3C" w:rsidP="008A66E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A425F">
        <w:rPr>
          <w:rFonts w:ascii="Calibri" w:hAnsi="Calibri" w:cs="Calibri"/>
          <w:sz w:val="22"/>
          <w:szCs w:val="22"/>
        </w:rPr>
        <w:t>Studie národní integrity (</w:t>
      </w:r>
      <w:proofErr w:type="spellStart"/>
      <w:r w:rsidRPr="009A425F">
        <w:rPr>
          <w:rFonts w:ascii="Calibri" w:hAnsi="Calibri" w:cs="Calibri"/>
          <w:sz w:val="22"/>
          <w:szCs w:val="22"/>
        </w:rPr>
        <w:t>National</w:t>
      </w:r>
      <w:proofErr w:type="spellEnd"/>
      <w:r w:rsidRPr="009A425F">
        <w:rPr>
          <w:rFonts w:ascii="Calibri" w:hAnsi="Calibri" w:cs="Calibri"/>
          <w:sz w:val="22"/>
          <w:szCs w:val="22"/>
        </w:rPr>
        <w:t xml:space="preserve"> Integrity </w:t>
      </w:r>
      <w:proofErr w:type="spellStart"/>
      <w:r w:rsidRPr="009A425F">
        <w:rPr>
          <w:rFonts w:ascii="Calibri" w:hAnsi="Calibri" w:cs="Calibri"/>
          <w:sz w:val="22"/>
          <w:szCs w:val="22"/>
        </w:rPr>
        <w:t>Syst</w:t>
      </w:r>
      <w:r w:rsidR="009A425F" w:rsidRPr="009A425F">
        <w:rPr>
          <w:rFonts w:ascii="Calibri" w:hAnsi="Calibri" w:cs="Calibri"/>
          <w:sz w:val="22"/>
          <w:szCs w:val="22"/>
        </w:rPr>
        <w:t>e</w:t>
      </w:r>
      <w:r w:rsidRPr="009A425F">
        <w:rPr>
          <w:rFonts w:ascii="Calibri" w:hAnsi="Calibri" w:cs="Calibri"/>
          <w:sz w:val="22"/>
          <w:szCs w:val="22"/>
        </w:rPr>
        <w:t>m</w:t>
      </w:r>
      <w:proofErr w:type="spellEnd"/>
      <w:r w:rsidRPr="009A425F">
        <w:rPr>
          <w:rFonts w:ascii="Calibri" w:hAnsi="Calibri" w:cs="Calibri"/>
          <w:sz w:val="22"/>
          <w:szCs w:val="22"/>
        </w:rPr>
        <w:t xml:space="preserve"> – NIS) je zaměřena </w:t>
      </w:r>
      <w:r w:rsidR="009A425F" w:rsidRPr="009A425F">
        <w:rPr>
          <w:rFonts w:ascii="Calibri" w:hAnsi="Calibri" w:cs="Calibri"/>
          <w:sz w:val="22"/>
          <w:szCs w:val="22"/>
        </w:rPr>
        <w:t xml:space="preserve">na výzkum připravenosti či nepřipravenosti základních institucí ČR čelit korupci. </w:t>
      </w:r>
      <w:r w:rsidRPr="009A425F">
        <w:rPr>
          <w:rFonts w:ascii="Calibri" w:hAnsi="Calibri" w:cs="Calibri"/>
          <w:sz w:val="22"/>
          <w:szCs w:val="22"/>
        </w:rPr>
        <w:t>Seznam těchto „pilířů“ zahrnuje mimo jiné exekutivu, legislativu, soudnictví, státní správu, kontrolní instituce (např. Nejvyšší kontrolní úřad, ombudsman), ale také politické strany, média, neziskový sektor a podnikatelskou sféru.</w:t>
      </w:r>
      <w:r w:rsidR="009A425F" w:rsidRPr="009A425F">
        <w:rPr>
          <w:rFonts w:ascii="Calibri" w:hAnsi="Calibri" w:cs="Calibri"/>
          <w:sz w:val="22"/>
          <w:szCs w:val="22"/>
        </w:rPr>
        <w:t xml:space="preserve"> </w:t>
      </w:r>
    </w:p>
    <w:p w:rsidR="009A425F" w:rsidRDefault="009A425F" w:rsidP="008A66E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A425F" w:rsidRDefault="009A425F" w:rsidP="008A66E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A425F">
        <w:rPr>
          <w:rFonts w:ascii="Calibri" w:hAnsi="Calibri" w:cs="Calibri"/>
          <w:sz w:val="22"/>
          <w:szCs w:val="22"/>
        </w:rPr>
        <w:t>Pokud pilíře fungují správně, je systém národní integrity zdravý a silný, a tedy i úspěšný v boji proti korupci. Pokud v nich však některé insti</w:t>
      </w:r>
      <w:r w:rsidR="00EB0A59">
        <w:rPr>
          <w:rFonts w:ascii="Calibri" w:hAnsi="Calibri" w:cs="Calibri"/>
          <w:sz w:val="22"/>
          <w:szCs w:val="22"/>
        </w:rPr>
        <w:t xml:space="preserve">tuce neexistují, špatně fungují, </w:t>
      </w:r>
      <w:r w:rsidRPr="009A425F">
        <w:rPr>
          <w:rFonts w:ascii="Calibri" w:hAnsi="Calibri" w:cs="Calibri"/>
          <w:sz w:val="22"/>
          <w:szCs w:val="22"/>
        </w:rPr>
        <w:t xml:space="preserve">nejsou zavedena náležitá pravidla </w:t>
      </w:r>
      <w:r w:rsidR="00EB0A59">
        <w:rPr>
          <w:rFonts w:ascii="Calibri" w:hAnsi="Calibri" w:cs="Calibri"/>
          <w:sz w:val="22"/>
          <w:szCs w:val="22"/>
        </w:rPr>
        <w:t>nebo</w:t>
      </w:r>
      <w:r w:rsidRPr="009A425F">
        <w:rPr>
          <w:rFonts w:ascii="Calibri" w:hAnsi="Calibri" w:cs="Calibri"/>
          <w:sz w:val="22"/>
          <w:szCs w:val="22"/>
        </w:rPr>
        <w:t xml:space="preserve"> není zajištěno odpovědné chování</w:t>
      </w:r>
      <w:r w:rsidR="00EB0A59">
        <w:rPr>
          <w:rFonts w:ascii="Calibri" w:hAnsi="Calibri" w:cs="Calibri"/>
          <w:sz w:val="22"/>
          <w:szCs w:val="22"/>
        </w:rPr>
        <w:t xml:space="preserve"> institucí</w:t>
      </w:r>
      <w:r w:rsidRPr="009A425F">
        <w:rPr>
          <w:rFonts w:ascii="Calibri" w:hAnsi="Calibri" w:cs="Calibri"/>
          <w:sz w:val="22"/>
          <w:szCs w:val="22"/>
        </w:rPr>
        <w:t xml:space="preserve">, otevírá se možnost pro korupci se všemi jejími negativními </w:t>
      </w:r>
      <w:r w:rsidR="00EB0A59">
        <w:rPr>
          <w:rFonts w:ascii="Calibri" w:hAnsi="Calibri" w:cs="Calibri"/>
          <w:sz w:val="22"/>
          <w:szCs w:val="22"/>
        </w:rPr>
        <w:t>důsledky</w:t>
      </w:r>
      <w:r w:rsidRPr="009A425F">
        <w:rPr>
          <w:rFonts w:ascii="Calibri" w:hAnsi="Calibri" w:cs="Calibri"/>
          <w:sz w:val="22"/>
          <w:szCs w:val="22"/>
        </w:rPr>
        <w:t xml:space="preserve">. Proto je správné fungování systému národní integrity nezbytnou podmínkou pro dobrou správu země. </w:t>
      </w:r>
    </w:p>
    <w:p w:rsidR="008A66E1" w:rsidRDefault="008A66E1" w:rsidP="008A66E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A66E1" w:rsidRDefault="008A66E1" w:rsidP="008A66E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A425F">
        <w:rPr>
          <w:rFonts w:ascii="Calibri" w:hAnsi="Calibri" w:cs="Calibri"/>
          <w:sz w:val="22"/>
          <w:szCs w:val="22"/>
        </w:rPr>
        <w:t>Studie se zabývá potenciálem jednotlivých pilířů, jejich vnitřní správou a integritou a plněním jejich rolí v boji proti korupci. Zatímco potenciál studovaných institucí je většinou vysoký, svoji roli plní většina institucí nedostatečně.</w:t>
      </w:r>
    </w:p>
    <w:p w:rsidR="008A66E1" w:rsidRPr="009A425F" w:rsidRDefault="008A66E1" w:rsidP="008A66E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C35D1" w:rsidRDefault="004C35D1" w:rsidP="008A66E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A425F">
        <w:rPr>
          <w:rFonts w:ascii="Calibri" w:hAnsi="Calibri" w:cs="Calibri"/>
          <w:i/>
          <w:sz w:val="22"/>
          <w:szCs w:val="22"/>
        </w:rPr>
        <w:t xml:space="preserve">„Klíčovým problémem je vysoká politizace státní správy, ale i státního zastupitelství a policie. Z ní pramení neochota aktivně postupovat proti korupci s politickým kontextem“, </w:t>
      </w:r>
      <w:r w:rsidRPr="009A425F">
        <w:rPr>
          <w:rFonts w:ascii="Calibri" w:hAnsi="Calibri" w:cs="Calibri"/>
          <w:sz w:val="22"/>
          <w:szCs w:val="22"/>
        </w:rPr>
        <w:t xml:space="preserve">říká Radim Bureš, jeden z autorů studie. </w:t>
      </w:r>
      <w:r w:rsidR="00E57D7A" w:rsidRPr="009A425F">
        <w:rPr>
          <w:rFonts w:ascii="Calibri" w:hAnsi="Calibri" w:cs="Calibri"/>
          <w:sz w:val="22"/>
          <w:szCs w:val="22"/>
        </w:rPr>
        <w:t>U většiny pilířů studie dále konstatuje značný rozpor mezi platnými pravidly a jejich naplňováním. „</w:t>
      </w:r>
      <w:r w:rsidR="00E57D7A" w:rsidRPr="009A425F">
        <w:rPr>
          <w:rFonts w:ascii="Calibri" w:hAnsi="Calibri" w:cs="Calibri"/>
          <w:i/>
          <w:sz w:val="22"/>
          <w:szCs w:val="22"/>
        </w:rPr>
        <w:t>Pravidla se prostě nedodržují</w:t>
      </w:r>
      <w:r w:rsidR="00E57D7A" w:rsidRPr="009A425F">
        <w:rPr>
          <w:rFonts w:ascii="Calibri" w:hAnsi="Calibri" w:cs="Calibri"/>
          <w:sz w:val="22"/>
          <w:szCs w:val="22"/>
        </w:rPr>
        <w:t>“, dodává Radim Bureš.</w:t>
      </w:r>
    </w:p>
    <w:p w:rsidR="001D34F9" w:rsidRDefault="001D34F9" w:rsidP="008A66E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D34F9" w:rsidRDefault="001D34F9" w:rsidP="008A66E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Při analýze pravidel a institucionální praxe napříč pilíři se ukazuje</w:t>
      </w:r>
      <w:r w:rsidR="00DE2A78">
        <w:rPr>
          <w:rFonts w:ascii="Calibri" w:hAnsi="Calibri" w:cs="Calibri"/>
          <w:sz w:val="22"/>
          <w:szCs w:val="22"/>
        </w:rPr>
        <w:t>, že obecně největší slabinou jsou sankční a kontrolní mechanismy, a to zejména ze tří důvodů:</w:t>
      </w:r>
    </w:p>
    <w:p w:rsidR="00DE2A78" w:rsidRDefault="00EB0A59" w:rsidP="00DE2A78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DE2A78">
        <w:rPr>
          <w:rFonts w:ascii="Calibri" w:hAnsi="Calibri" w:cs="Calibri"/>
          <w:sz w:val="22"/>
          <w:szCs w:val="22"/>
        </w:rPr>
        <w:t> mnoha případech vůbec neexistují;</w:t>
      </w:r>
    </w:p>
    <w:p w:rsidR="00DE2A78" w:rsidRDefault="00EB0A59" w:rsidP="00DE2A78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</w:t>
      </w:r>
      <w:r w:rsidR="00DE2A78">
        <w:rPr>
          <w:rFonts w:ascii="Calibri" w:hAnsi="Calibri" w:cs="Calibri"/>
          <w:sz w:val="22"/>
          <w:szCs w:val="22"/>
        </w:rPr>
        <w:t>nohdy existují, ale nepoužívají se;</w:t>
      </w:r>
    </w:p>
    <w:p w:rsidR="00DE2A78" w:rsidRPr="009A425F" w:rsidRDefault="00EB0A59" w:rsidP="00DE2A78">
      <w:pPr>
        <w:pStyle w:val="Default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</w:t>
      </w:r>
      <w:r w:rsidR="00DE2A78">
        <w:rPr>
          <w:rFonts w:ascii="Calibri" w:hAnsi="Calibri" w:cs="Calibri"/>
          <w:sz w:val="22"/>
          <w:szCs w:val="22"/>
        </w:rPr>
        <w:t> mnoha případech existují, používají se, ale účelově.</w:t>
      </w:r>
    </w:p>
    <w:p w:rsidR="004C35D1" w:rsidRPr="009A425F" w:rsidRDefault="004C35D1" w:rsidP="008A66E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CA3EFB" w:rsidRDefault="00E57D7A" w:rsidP="008A66E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A425F">
        <w:rPr>
          <w:rFonts w:ascii="Calibri" w:hAnsi="Calibri" w:cs="Calibri"/>
          <w:sz w:val="22"/>
          <w:szCs w:val="22"/>
        </w:rPr>
        <w:t xml:space="preserve">Hlubší pohled na </w:t>
      </w:r>
      <w:r w:rsidR="00EB0A59">
        <w:rPr>
          <w:rFonts w:ascii="Calibri" w:hAnsi="Calibri" w:cs="Calibri"/>
          <w:sz w:val="22"/>
          <w:szCs w:val="22"/>
        </w:rPr>
        <w:t>studované pilíře</w:t>
      </w:r>
      <w:r w:rsidR="000424A3">
        <w:rPr>
          <w:rFonts w:ascii="Calibri" w:hAnsi="Calibri" w:cs="Calibri"/>
          <w:sz w:val="22"/>
          <w:szCs w:val="22"/>
        </w:rPr>
        <w:t xml:space="preserve"> ukázal, že </w:t>
      </w:r>
      <w:r w:rsidR="000424A3" w:rsidRPr="000424A3">
        <w:rPr>
          <w:rFonts w:ascii="Calibri" w:hAnsi="Calibri" w:cs="Calibri"/>
          <w:sz w:val="22"/>
          <w:szCs w:val="22"/>
        </w:rPr>
        <w:t>instituce vykazují i další systémové nedostatky</w:t>
      </w:r>
      <w:r w:rsidRPr="009A425F">
        <w:rPr>
          <w:rFonts w:ascii="Calibri" w:hAnsi="Calibri" w:cs="Calibri"/>
          <w:sz w:val="22"/>
          <w:szCs w:val="22"/>
        </w:rPr>
        <w:t xml:space="preserve">. Jakkoli se např. transparentnost státní správy výrazně zlepšila, stále je obtížné </w:t>
      </w:r>
      <w:r w:rsidR="007F2436">
        <w:rPr>
          <w:rFonts w:ascii="Calibri" w:hAnsi="Calibri" w:cs="Calibri"/>
          <w:sz w:val="22"/>
          <w:szCs w:val="22"/>
        </w:rPr>
        <w:t xml:space="preserve">nebo úplně nemožné získat </w:t>
      </w:r>
      <w:r w:rsidRPr="009A425F">
        <w:rPr>
          <w:rFonts w:ascii="Calibri" w:hAnsi="Calibri" w:cs="Calibri"/>
          <w:sz w:val="22"/>
          <w:szCs w:val="22"/>
        </w:rPr>
        <w:t>důležité informace o vynakládání veřejných prostředků či o přípravě materiálů a rozhodnutí.</w:t>
      </w:r>
      <w:r w:rsidR="003A127C" w:rsidRPr="009A425F">
        <w:rPr>
          <w:rFonts w:ascii="Calibri" w:hAnsi="Calibri" w:cs="Calibri"/>
          <w:sz w:val="22"/>
          <w:szCs w:val="22"/>
        </w:rPr>
        <w:t xml:space="preserve"> </w:t>
      </w:r>
    </w:p>
    <w:p w:rsidR="001D34F9" w:rsidRPr="009A425F" w:rsidRDefault="001D34F9" w:rsidP="008A66E1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9A425F" w:rsidRPr="009A425F" w:rsidRDefault="009A425F" w:rsidP="008A66E1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A425F">
        <w:rPr>
          <w:rFonts w:ascii="Calibri" w:hAnsi="Calibri" w:cs="Calibri"/>
          <w:i/>
          <w:sz w:val="22"/>
          <w:szCs w:val="22"/>
        </w:rPr>
        <w:t>„Instituce, které vykazují nejvyšší míru vnitř</w:t>
      </w:r>
      <w:r w:rsidR="00EB0A59">
        <w:rPr>
          <w:rFonts w:ascii="Calibri" w:hAnsi="Calibri" w:cs="Calibri"/>
          <w:i/>
          <w:sz w:val="22"/>
          <w:szCs w:val="22"/>
        </w:rPr>
        <w:t xml:space="preserve">ní integrity, jako je ombudsman, </w:t>
      </w:r>
      <w:r w:rsidRPr="009A425F">
        <w:rPr>
          <w:rFonts w:ascii="Calibri" w:hAnsi="Calibri" w:cs="Calibri"/>
          <w:i/>
          <w:sz w:val="22"/>
          <w:szCs w:val="22"/>
        </w:rPr>
        <w:t xml:space="preserve">NKÚ a také soudy, nemají na </w:t>
      </w:r>
      <w:r w:rsidR="007F2436">
        <w:rPr>
          <w:rFonts w:ascii="Calibri" w:hAnsi="Calibri" w:cs="Calibri"/>
          <w:i/>
          <w:sz w:val="22"/>
          <w:szCs w:val="22"/>
        </w:rPr>
        <w:t xml:space="preserve">zdravé </w:t>
      </w:r>
      <w:r w:rsidRPr="009A425F">
        <w:rPr>
          <w:rFonts w:ascii="Calibri" w:hAnsi="Calibri" w:cs="Calibri"/>
          <w:i/>
          <w:sz w:val="22"/>
          <w:szCs w:val="22"/>
        </w:rPr>
        <w:t xml:space="preserve">fungování společnosti potřebný </w:t>
      </w:r>
      <w:r w:rsidR="007F2436">
        <w:rPr>
          <w:rFonts w:ascii="Calibri" w:hAnsi="Calibri" w:cs="Calibri"/>
          <w:i/>
          <w:sz w:val="22"/>
          <w:szCs w:val="22"/>
        </w:rPr>
        <w:t>vliv</w:t>
      </w:r>
      <w:r w:rsidRPr="009A425F">
        <w:rPr>
          <w:rFonts w:ascii="Calibri" w:hAnsi="Calibri" w:cs="Calibri"/>
          <w:i/>
          <w:sz w:val="22"/>
          <w:szCs w:val="22"/>
        </w:rPr>
        <w:t xml:space="preserve">“, </w:t>
      </w:r>
      <w:r w:rsidRPr="009A425F">
        <w:rPr>
          <w:rFonts w:ascii="Calibri" w:hAnsi="Calibri" w:cs="Calibri"/>
          <w:sz w:val="22"/>
          <w:szCs w:val="22"/>
        </w:rPr>
        <w:t xml:space="preserve">říká Petr Jansa, hlavní autor studie.  </w:t>
      </w:r>
    </w:p>
    <w:p w:rsidR="003A127C" w:rsidRDefault="003A127C" w:rsidP="008A66E1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A66E1" w:rsidRDefault="008A66E1" w:rsidP="008A66E1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A66E1" w:rsidRPr="009A425F" w:rsidRDefault="008A66E1" w:rsidP="008A66E1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9A425F">
        <w:rPr>
          <w:rFonts w:ascii="Calibri" w:hAnsi="Calibri" w:cs="Calibri"/>
          <w:b/>
          <w:sz w:val="22"/>
          <w:szCs w:val="22"/>
        </w:rPr>
        <w:t xml:space="preserve">Studie představuje „snímek“ jednotlivých pilířů na přelomu let 2010 a 2011. Vývoj v roce 2011 přináší nové příležitosti, ale i rizika.  Zatímco na státním zastupitelství jsme svědky řady pozitivních změn, pak </w:t>
      </w:r>
      <w:r w:rsidR="00DE2A78">
        <w:rPr>
          <w:rFonts w:ascii="Calibri" w:hAnsi="Calibri" w:cs="Calibri"/>
          <w:b/>
          <w:sz w:val="22"/>
          <w:szCs w:val="22"/>
        </w:rPr>
        <w:t>„</w:t>
      </w:r>
      <w:r w:rsidRPr="009A425F">
        <w:rPr>
          <w:rFonts w:ascii="Calibri" w:hAnsi="Calibri" w:cs="Calibri"/>
          <w:b/>
          <w:sz w:val="22"/>
          <w:szCs w:val="22"/>
        </w:rPr>
        <w:t>ořezávání</w:t>
      </w:r>
      <w:r w:rsidR="00DE2A78">
        <w:rPr>
          <w:rFonts w:ascii="Calibri" w:hAnsi="Calibri" w:cs="Calibri"/>
          <w:b/>
          <w:sz w:val="22"/>
          <w:szCs w:val="22"/>
        </w:rPr>
        <w:t>“</w:t>
      </w:r>
      <w:r w:rsidRPr="009A425F">
        <w:rPr>
          <w:rFonts w:ascii="Calibri" w:hAnsi="Calibri" w:cs="Calibri"/>
          <w:b/>
          <w:sz w:val="22"/>
          <w:szCs w:val="22"/>
        </w:rPr>
        <w:t xml:space="preserve"> rozpočtů může ohrozit např. fungování NKÚ či policie.</w:t>
      </w:r>
    </w:p>
    <w:p w:rsidR="003A127C" w:rsidRDefault="003A127C" w:rsidP="008A66E1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A66E1" w:rsidRDefault="008A66E1" w:rsidP="008A66E1">
      <w:pPr>
        <w:pStyle w:val="Defaul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A66E1" w:rsidRDefault="008A66E1" w:rsidP="008A66E1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8A66E1" w:rsidRDefault="00DC67BE" w:rsidP="008A66E1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DC67BE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>
            <wp:extent cx="5617617" cy="4525963"/>
            <wp:effectExtent l="19050" t="0" r="2133" b="0"/>
            <wp:docPr id="4" name="obrázek 2" descr="C:\Users\Public\Pictures\2_1_NIS_chram_2_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Public\Pictures\2_1_NIS_chram_2_O_RGB.jpg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617" cy="4525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66E1" w:rsidRPr="009A425F" w:rsidRDefault="008A66E1" w:rsidP="008A66E1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</w:p>
    <w:p w:rsidR="00DE2A78" w:rsidRDefault="00DE2A78" w:rsidP="008A66E1">
      <w:pPr>
        <w:pStyle w:val="Default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ED0AF6" w:rsidRPr="009A425F" w:rsidRDefault="00ED0AF6" w:rsidP="008A66E1">
      <w:pPr>
        <w:pStyle w:val="Defaul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9A425F">
        <w:rPr>
          <w:rFonts w:ascii="Calibri" w:hAnsi="Calibri" w:cs="Calibri"/>
          <w:b/>
          <w:sz w:val="22"/>
          <w:szCs w:val="22"/>
          <w:u w:val="single"/>
        </w:rPr>
        <w:t xml:space="preserve">Kontakt pro média: </w:t>
      </w:r>
    </w:p>
    <w:p w:rsidR="00ED0AF6" w:rsidRPr="009A425F" w:rsidRDefault="00ED0AF6" w:rsidP="008A66E1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  <w:r w:rsidRPr="009A425F">
        <w:rPr>
          <w:rFonts w:ascii="Calibri" w:hAnsi="Calibri" w:cs="Calibri"/>
          <w:i/>
          <w:sz w:val="22"/>
          <w:szCs w:val="22"/>
        </w:rPr>
        <w:t>Petr Jansa, Transparency International – Česká republika</w:t>
      </w:r>
    </w:p>
    <w:p w:rsidR="00ED0AF6" w:rsidRPr="009A425F" w:rsidRDefault="00ED0AF6" w:rsidP="008A66E1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9A425F">
        <w:rPr>
          <w:rFonts w:ascii="Calibri" w:hAnsi="Calibri" w:cs="Calibri"/>
          <w:i/>
          <w:sz w:val="22"/>
          <w:szCs w:val="22"/>
        </w:rPr>
        <w:t xml:space="preserve">Mob.: </w:t>
      </w:r>
      <w:r w:rsidR="00A57A3C" w:rsidRPr="009A425F">
        <w:rPr>
          <w:rFonts w:ascii="Calibri" w:hAnsi="Calibri" w:cs="Calibri"/>
          <w:i/>
          <w:sz w:val="22"/>
          <w:szCs w:val="22"/>
        </w:rPr>
        <w:t>777 586 245</w:t>
      </w:r>
      <w:r w:rsidRPr="009A425F">
        <w:rPr>
          <w:rFonts w:ascii="Calibri" w:hAnsi="Calibri" w:cs="Calibri"/>
          <w:sz w:val="22"/>
          <w:szCs w:val="22"/>
        </w:rPr>
        <w:t xml:space="preserve">, mail: </w:t>
      </w:r>
      <w:hyperlink r:id="rId8" w:history="1">
        <w:r w:rsidRPr="009A425F">
          <w:rPr>
            <w:rStyle w:val="Hypertextovodkaz"/>
            <w:rFonts w:ascii="Calibri" w:hAnsi="Calibri" w:cs="Calibri"/>
            <w:sz w:val="22"/>
            <w:szCs w:val="22"/>
          </w:rPr>
          <w:t>jansa@transparency.cz</w:t>
        </w:r>
      </w:hyperlink>
      <w:r w:rsidRPr="009A425F">
        <w:rPr>
          <w:rFonts w:ascii="Calibri" w:hAnsi="Calibri" w:cs="Calibri"/>
          <w:sz w:val="22"/>
          <w:szCs w:val="22"/>
        </w:rPr>
        <w:t xml:space="preserve"> </w:t>
      </w:r>
    </w:p>
    <w:p w:rsidR="00A57A3C" w:rsidRPr="009A425F" w:rsidRDefault="00A57A3C" w:rsidP="008A66E1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</w:p>
    <w:p w:rsidR="00ED0AF6" w:rsidRPr="009A425F" w:rsidRDefault="00ED0AF6" w:rsidP="008A66E1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  <w:r w:rsidRPr="009A425F">
        <w:rPr>
          <w:rFonts w:ascii="Calibri" w:hAnsi="Calibri" w:cs="Calibri"/>
          <w:i/>
          <w:sz w:val="22"/>
          <w:szCs w:val="22"/>
        </w:rPr>
        <w:t>Radim Bureš, Transparency International - Česká republika</w:t>
      </w:r>
    </w:p>
    <w:p w:rsidR="00ED0AF6" w:rsidRPr="009A425F" w:rsidRDefault="00ED0AF6" w:rsidP="008A66E1">
      <w:pPr>
        <w:pStyle w:val="Default"/>
        <w:jc w:val="both"/>
        <w:rPr>
          <w:rFonts w:ascii="Calibri" w:hAnsi="Calibri" w:cs="Calibri"/>
          <w:i/>
          <w:sz w:val="22"/>
          <w:szCs w:val="22"/>
        </w:rPr>
      </w:pPr>
      <w:r w:rsidRPr="009A425F">
        <w:rPr>
          <w:rFonts w:ascii="Calibri" w:hAnsi="Calibri" w:cs="Calibri"/>
          <w:i/>
          <w:sz w:val="22"/>
          <w:szCs w:val="22"/>
        </w:rPr>
        <w:t xml:space="preserve">Mob.: </w:t>
      </w:r>
      <w:r w:rsidR="00A57A3C" w:rsidRPr="009A425F">
        <w:rPr>
          <w:rFonts w:ascii="Calibri" w:hAnsi="Calibri" w:cs="Calibri"/>
          <w:i/>
          <w:sz w:val="22"/>
          <w:szCs w:val="22"/>
        </w:rPr>
        <w:t>733 666 008</w:t>
      </w:r>
      <w:r w:rsidRPr="009A425F">
        <w:rPr>
          <w:rFonts w:ascii="Calibri" w:hAnsi="Calibri" w:cs="Calibri"/>
          <w:i/>
          <w:sz w:val="22"/>
          <w:szCs w:val="22"/>
        </w:rPr>
        <w:t xml:space="preserve">, tel: 224 240 897, mail: </w:t>
      </w:r>
      <w:hyperlink r:id="rId9" w:history="1">
        <w:r w:rsidRPr="009A425F">
          <w:rPr>
            <w:rStyle w:val="Hypertextovodkaz"/>
            <w:rFonts w:ascii="Calibri" w:hAnsi="Calibri" w:cs="Calibri"/>
            <w:i/>
            <w:sz w:val="22"/>
            <w:szCs w:val="22"/>
          </w:rPr>
          <w:t>bures@transparency.cz</w:t>
        </w:r>
      </w:hyperlink>
    </w:p>
    <w:p w:rsidR="00A57A3C" w:rsidRPr="009A425F" w:rsidRDefault="00A57A3C" w:rsidP="008A66E1">
      <w:pPr>
        <w:rPr>
          <w:rFonts w:ascii="Calibri" w:hAnsi="Calibri" w:cs="Calibri"/>
          <w:i/>
          <w:iCs/>
          <w:noProof/>
          <w:color w:val="31849B"/>
          <w:sz w:val="22"/>
          <w:szCs w:val="22"/>
        </w:rPr>
      </w:pPr>
    </w:p>
    <w:p w:rsidR="00DE2A78" w:rsidRDefault="00DE2A78" w:rsidP="008A66E1">
      <w:pPr>
        <w:rPr>
          <w:rFonts w:ascii="Calibri" w:hAnsi="Calibri" w:cs="Calibri"/>
          <w:i/>
          <w:iCs/>
          <w:noProof/>
          <w:color w:val="31849B"/>
          <w:sz w:val="22"/>
          <w:szCs w:val="22"/>
        </w:rPr>
      </w:pPr>
    </w:p>
    <w:p w:rsidR="00ED0AF6" w:rsidRPr="009A425F" w:rsidRDefault="00ED0AF6" w:rsidP="008A66E1">
      <w:pPr>
        <w:rPr>
          <w:rFonts w:ascii="Calibri" w:hAnsi="Calibri" w:cs="Calibri"/>
          <w:noProof/>
          <w:color w:val="000000"/>
          <w:sz w:val="22"/>
          <w:szCs w:val="22"/>
        </w:rPr>
      </w:pPr>
      <w:r w:rsidRPr="009A425F">
        <w:rPr>
          <w:rFonts w:ascii="Calibri" w:hAnsi="Calibri" w:cs="Calibri"/>
          <w:i/>
          <w:iCs/>
          <w:noProof/>
          <w:color w:val="31849B"/>
          <w:sz w:val="22"/>
          <w:szCs w:val="22"/>
        </w:rPr>
        <w:t xml:space="preserve">Transparency International - Česká republika, o.p.s. -  hlídáme veřejný zájem, hájíme efektivní a odpovědnou správu země. </w:t>
      </w:r>
    </w:p>
    <w:p w:rsidR="00ED0AF6" w:rsidRPr="009A425F" w:rsidRDefault="00ED0AF6" w:rsidP="008A66E1">
      <w:pPr>
        <w:rPr>
          <w:rFonts w:ascii="Calibri" w:hAnsi="Calibri" w:cs="Calibri"/>
          <w:i/>
          <w:iCs/>
          <w:noProof/>
          <w:color w:val="31849B"/>
          <w:sz w:val="22"/>
          <w:szCs w:val="22"/>
          <w:u w:val="single"/>
        </w:rPr>
      </w:pPr>
      <w:r w:rsidRPr="009A425F">
        <w:rPr>
          <w:rFonts w:ascii="Calibri" w:hAnsi="Calibri" w:cs="Calibri"/>
          <w:i/>
          <w:iCs/>
          <w:noProof/>
          <w:color w:val="31849B"/>
          <w:sz w:val="22"/>
          <w:szCs w:val="22"/>
        </w:rPr>
        <w:t xml:space="preserve">Podpořte boj proti korupci, více na </w:t>
      </w:r>
      <w:hyperlink r:id="rId10" w:tgtFrame="_blank" w:history="1">
        <w:r w:rsidRPr="009A425F">
          <w:rPr>
            <w:rStyle w:val="Hypertextovodkaz"/>
            <w:rFonts w:ascii="Calibri" w:hAnsi="Calibri" w:cs="Calibri"/>
            <w:i/>
            <w:iCs/>
            <w:noProof/>
            <w:sz w:val="22"/>
            <w:szCs w:val="22"/>
          </w:rPr>
          <w:t>www.transparency.cz</w:t>
        </w:r>
      </w:hyperlink>
    </w:p>
    <w:p w:rsidR="00ED0AF6" w:rsidRPr="009A425F" w:rsidRDefault="00ED0AF6" w:rsidP="008A66E1">
      <w:pPr>
        <w:rPr>
          <w:rFonts w:ascii="Calibri" w:hAnsi="Calibri" w:cs="Calibri"/>
          <w:noProof/>
          <w:color w:val="000000"/>
          <w:sz w:val="22"/>
          <w:szCs w:val="22"/>
        </w:rPr>
      </w:pPr>
    </w:p>
    <w:p w:rsidR="00E22D31" w:rsidRPr="009A425F" w:rsidRDefault="00146FF0" w:rsidP="008A66E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2115185" cy="246380"/>
            <wp:effectExtent l="19050" t="0" r="0" b="0"/>
            <wp:docPr id="2" name="Obrázek 1" descr="Popis: Popis: Popis: cid:image003.jpg@01CC7F7B.DBED9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Popis: cid:image003.jpg@01CC7F7B.DBED9FF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D31" w:rsidRPr="009A425F" w:rsidSect="00E93B5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B44" w:rsidRDefault="00675B44" w:rsidP="00A62953">
      <w:r>
        <w:separator/>
      </w:r>
    </w:p>
  </w:endnote>
  <w:endnote w:type="continuationSeparator" w:id="0">
    <w:p w:rsidR="00675B44" w:rsidRDefault="00675B44" w:rsidP="00A62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hem CE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evenim M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B44" w:rsidRDefault="00675B44" w:rsidP="00A62953">
      <w:r>
        <w:separator/>
      </w:r>
    </w:p>
  </w:footnote>
  <w:footnote w:type="continuationSeparator" w:id="0">
    <w:p w:rsidR="00675B44" w:rsidRDefault="00675B44" w:rsidP="00A62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953" w:rsidRDefault="00146FF0" w:rsidP="00A62953">
    <w:pPr>
      <w:pStyle w:val="Zhlav"/>
    </w:pPr>
    <w:r>
      <w:rPr>
        <w:noProof/>
      </w:rPr>
      <w:drawing>
        <wp:inline distT="0" distB="0" distL="0" distR="0">
          <wp:extent cx="2186305" cy="294005"/>
          <wp:effectExtent l="19050" t="0" r="4445" b="0"/>
          <wp:docPr id="3" name="obrázek 1" descr="Z:\PODKLADY PRO TISK\LOGO\Logo TIC\logo_TIC_česká ver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:\PODKLADY PRO TISK\LOGO\Logo TIC\logo_TIC_česká ver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62953" w:rsidRPr="00F60D7A" w:rsidRDefault="00A62953" w:rsidP="00A62953">
    <w:pPr>
      <w:pStyle w:val="Zhlav"/>
      <w:rPr>
        <w:rFonts w:ascii="Arial" w:hAnsi="Arial" w:cs="Levenim MT"/>
        <w:color w:val="31849B"/>
        <w:sz w:val="10"/>
        <w:szCs w:val="10"/>
      </w:rPr>
    </w:pPr>
  </w:p>
  <w:p w:rsidR="00A62953" w:rsidRPr="00B22F72" w:rsidRDefault="00A62953" w:rsidP="00A62953">
    <w:pPr>
      <w:pStyle w:val="Zhlav"/>
      <w:rPr>
        <w:rFonts w:ascii="Arial" w:hAnsi="Arial" w:cs="Levenim MT"/>
        <w:color w:val="31849B"/>
        <w:sz w:val="4"/>
        <w:szCs w:val="4"/>
      </w:rPr>
    </w:pPr>
    <w:r w:rsidRPr="00120C7F">
      <w:rPr>
        <w:rFonts w:ascii="Arial" w:hAnsi="Arial" w:cs="Levenim MT"/>
        <w:color w:val="31849B"/>
        <w:sz w:val="18"/>
        <w:szCs w:val="18"/>
      </w:rPr>
      <w:t xml:space="preserve">           </w:t>
    </w:r>
  </w:p>
  <w:p w:rsidR="00A62953" w:rsidRPr="00B22F72" w:rsidRDefault="00A62953" w:rsidP="00A62953">
    <w:pPr>
      <w:pStyle w:val="Zhlav"/>
      <w:rPr>
        <w:rFonts w:ascii="Arial" w:hAnsi="Arial" w:cs="Levenim MT"/>
        <w:i/>
      </w:rPr>
    </w:pPr>
    <w:r>
      <w:rPr>
        <w:rFonts w:ascii="Arial" w:hAnsi="Arial" w:cs="Levenim MT"/>
        <w:i/>
        <w:color w:val="31849B"/>
        <w:sz w:val="18"/>
        <w:szCs w:val="18"/>
      </w:rPr>
      <w:t xml:space="preserve"> </w:t>
    </w:r>
    <w:r w:rsidRPr="00B22F72">
      <w:rPr>
        <w:rFonts w:ascii="Arial" w:hAnsi="Arial" w:cs="Levenim MT"/>
        <w:i/>
        <w:color w:val="31849B"/>
        <w:sz w:val="18"/>
        <w:szCs w:val="18"/>
      </w:rPr>
      <w:t>Hlídáme veřejný zájem, hájíme efektivní a odpovědnou správu země.</w:t>
    </w:r>
  </w:p>
  <w:p w:rsidR="00A62953" w:rsidRDefault="00A6295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1464"/>
    <w:multiLevelType w:val="hybridMultilevel"/>
    <w:tmpl w:val="EE688F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224204"/>
    <w:multiLevelType w:val="hybridMultilevel"/>
    <w:tmpl w:val="02641E48"/>
    <w:lvl w:ilvl="0" w:tplc="2E3E88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953"/>
    <w:rsid w:val="000424A3"/>
    <w:rsid w:val="00085E90"/>
    <w:rsid w:val="000C5E81"/>
    <w:rsid w:val="00146FF0"/>
    <w:rsid w:val="001D34F9"/>
    <w:rsid w:val="00210225"/>
    <w:rsid w:val="00273CDA"/>
    <w:rsid w:val="00364736"/>
    <w:rsid w:val="00381C3C"/>
    <w:rsid w:val="003A127C"/>
    <w:rsid w:val="003B797D"/>
    <w:rsid w:val="003C03B2"/>
    <w:rsid w:val="003C557F"/>
    <w:rsid w:val="004C35D1"/>
    <w:rsid w:val="004E1FEB"/>
    <w:rsid w:val="00675B44"/>
    <w:rsid w:val="00687499"/>
    <w:rsid w:val="006A72F6"/>
    <w:rsid w:val="007F2436"/>
    <w:rsid w:val="00833200"/>
    <w:rsid w:val="00861B93"/>
    <w:rsid w:val="00886785"/>
    <w:rsid w:val="008A66E1"/>
    <w:rsid w:val="009A425F"/>
    <w:rsid w:val="00A57A3C"/>
    <w:rsid w:val="00A62953"/>
    <w:rsid w:val="00A71D90"/>
    <w:rsid w:val="00BD1993"/>
    <w:rsid w:val="00BF27D0"/>
    <w:rsid w:val="00C831E1"/>
    <w:rsid w:val="00CA3EFB"/>
    <w:rsid w:val="00D01A24"/>
    <w:rsid w:val="00D40444"/>
    <w:rsid w:val="00DC67BE"/>
    <w:rsid w:val="00DE2A78"/>
    <w:rsid w:val="00DF2D19"/>
    <w:rsid w:val="00E2073A"/>
    <w:rsid w:val="00E22D31"/>
    <w:rsid w:val="00E57D7A"/>
    <w:rsid w:val="00E93B53"/>
    <w:rsid w:val="00EB0A59"/>
    <w:rsid w:val="00ED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95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629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62953"/>
  </w:style>
  <w:style w:type="paragraph" w:styleId="Zpat">
    <w:name w:val="footer"/>
    <w:basedOn w:val="Normln"/>
    <w:link w:val="ZpatChar"/>
    <w:uiPriority w:val="99"/>
    <w:semiHidden/>
    <w:unhideWhenUsed/>
    <w:rsid w:val="00A629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62953"/>
  </w:style>
  <w:style w:type="paragraph" w:styleId="Textbubliny">
    <w:name w:val="Balloon Text"/>
    <w:basedOn w:val="Normln"/>
    <w:link w:val="TextbublinyChar"/>
    <w:uiPriority w:val="99"/>
    <w:semiHidden/>
    <w:unhideWhenUsed/>
    <w:rsid w:val="00A62953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29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AF6"/>
    <w:pPr>
      <w:autoSpaceDE w:val="0"/>
      <w:autoSpaceDN w:val="0"/>
      <w:adjustRightInd w:val="0"/>
    </w:pPr>
    <w:rPr>
      <w:rFonts w:ascii="Arnhem CE" w:eastAsia="Times New Roman" w:hAnsi="Arnhem CE" w:cs="Arnhem CE"/>
      <w:color w:val="000000"/>
      <w:sz w:val="24"/>
      <w:szCs w:val="24"/>
    </w:rPr>
  </w:style>
  <w:style w:type="character" w:styleId="Hypertextovodkaz">
    <w:name w:val="Hyperlink"/>
    <w:rsid w:val="00ED0A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295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629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62953"/>
  </w:style>
  <w:style w:type="paragraph" w:styleId="Zpat">
    <w:name w:val="footer"/>
    <w:basedOn w:val="Normln"/>
    <w:link w:val="ZpatChar"/>
    <w:uiPriority w:val="99"/>
    <w:semiHidden/>
    <w:unhideWhenUsed/>
    <w:rsid w:val="00A629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62953"/>
  </w:style>
  <w:style w:type="paragraph" w:styleId="Textbubliny">
    <w:name w:val="Balloon Text"/>
    <w:basedOn w:val="Normln"/>
    <w:link w:val="TextbublinyChar"/>
    <w:uiPriority w:val="99"/>
    <w:semiHidden/>
    <w:unhideWhenUsed/>
    <w:rsid w:val="00A62953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29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AF6"/>
    <w:pPr>
      <w:autoSpaceDE w:val="0"/>
      <w:autoSpaceDN w:val="0"/>
      <w:adjustRightInd w:val="0"/>
    </w:pPr>
    <w:rPr>
      <w:rFonts w:ascii="Arnhem CE" w:eastAsia="Times New Roman" w:hAnsi="Arnhem CE" w:cs="Arnhem CE"/>
      <w:color w:val="000000"/>
      <w:sz w:val="24"/>
      <w:szCs w:val="24"/>
    </w:rPr>
  </w:style>
  <w:style w:type="character" w:styleId="Hypertextovodkaz">
    <w:name w:val="Hyperlink"/>
    <w:rsid w:val="00ED0A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sa@transparenc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transparenc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res@transparency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3553</CharactersWithSpaces>
  <SharedDoc>false</SharedDoc>
  <HLinks>
    <vt:vector size="18" baseType="variant">
      <vt:variant>
        <vt:i4>8257594</vt:i4>
      </vt:variant>
      <vt:variant>
        <vt:i4>6</vt:i4>
      </vt:variant>
      <vt:variant>
        <vt:i4>0</vt:i4>
      </vt:variant>
      <vt:variant>
        <vt:i4>5</vt:i4>
      </vt:variant>
      <vt:variant>
        <vt:lpwstr>http://www.transparency.cz/</vt:lpwstr>
      </vt:variant>
      <vt:variant>
        <vt:lpwstr/>
      </vt:variant>
      <vt:variant>
        <vt:i4>5505136</vt:i4>
      </vt:variant>
      <vt:variant>
        <vt:i4>3</vt:i4>
      </vt:variant>
      <vt:variant>
        <vt:i4>0</vt:i4>
      </vt:variant>
      <vt:variant>
        <vt:i4>5</vt:i4>
      </vt:variant>
      <vt:variant>
        <vt:lpwstr>mailto:bures@transparency.cz</vt:lpwstr>
      </vt:variant>
      <vt:variant>
        <vt:lpwstr/>
      </vt:variant>
      <vt:variant>
        <vt:i4>5374066</vt:i4>
      </vt:variant>
      <vt:variant>
        <vt:i4>0</vt:i4>
      </vt:variant>
      <vt:variant>
        <vt:i4>0</vt:i4>
      </vt:variant>
      <vt:variant>
        <vt:i4>5</vt:i4>
      </vt:variant>
      <vt:variant>
        <vt:lpwstr>mailto:jansa@transparency.cz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bures</dc:creator>
  <cp:lastModifiedBy>skapova</cp:lastModifiedBy>
  <cp:revision>4</cp:revision>
  <cp:lastPrinted>2011-12-07T11:46:00Z</cp:lastPrinted>
  <dcterms:created xsi:type="dcterms:W3CDTF">2011-12-08T08:46:00Z</dcterms:created>
  <dcterms:modified xsi:type="dcterms:W3CDTF">2011-12-08T08:49:00Z</dcterms:modified>
</cp:coreProperties>
</file>