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DB" w:rsidRDefault="00E75A1B" w:rsidP="002A5C38">
      <w:pPr>
        <w:shd w:val="clear" w:color="auto" w:fill="FFFFFF"/>
        <w:ind w:left="11"/>
      </w:pPr>
      <w:r>
        <w:rPr>
          <w:b/>
          <w:bCs/>
          <w:color w:val="31286F"/>
          <w:spacing w:val="-1"/>
          <w:sz w:val="36"/>
          <w:szCs w:val="36"/>
        </w:rPr>
        <w:t xml:space="preserve">Politika, postupy a zásady dárcovství v TI </w:t>
      </w:r>
    </w:p>
    <w:p w:rsidR="002741DB" w:rsidRDefault="00E75A1B" w:rsidP="002741DB">
      <w:pPr>
        <w:shd w:val="clear" w:color="auto" w:fill="FFFFFF"/>
        <w:spacing w:before="202"/>
        <w:ind w:left="24"/>
      </w:pPr>
      <w:r>
        <w:rPr>
          <w:b/>
          <w:bCs/>
          <w:color w:val="31286F"/>
          <w:spacing w:val="-14"/>
          <w:sz w:val="28"/>
          <w:szCs w:val="28"/>
        </w:rPr>
        <w:t>Úvod</w:t>
      </w:r>
    </w:p>
    <w:p w:rsidR="002741DB" w:rsidRDefault="000B2D02" w:rsidP="002741DB">
      <w:pPr>
        <w:shd w:val="clear" w:color="auto" w:fill="FFFFFF"/>
        <w:spacing w:before="216" w:line="230" w:lineRule="exact"/>
      </w:pPr>
      <w:r>
        <w:rPr>
          <w:b/>
          <w:bCs/>
          <w:color w:val="000000"/>
        </w:rPr>
        <w:t xml:space="preserve">Dary a ostatní příjmy umožňují TI bojovat s korupcí. </w:t>
      </w:r>
      <w:r w:rsidR="004334E9">
        <w:rPr>
          <w:b/>
          <w:bCs/>
          <w:color w:val="000000"/>
        </w:rPr>
        <w:t xml:space="preserve">K provádění svých </w:t>
      </w:r>
      <w:r w:rsidR="00FF3312">
        <w:rPr>
          <w:b/>
          <w:bCs/>
          <w:color w:val="000000"/>
        </w:rPr>
        <w:t xml:space="preserve">nezbytných činností si </w:t>
      </w:r>
      <w:r w:rsidR="002741DB">
        <w:rPr>
          <w:b/>
          <w:bCs/>
          <w:color w:val="000000"/>
        </w:rPr>
        <w:t xml:space="preserve">TI </w:t>
      </w:r>
      <w:r w:rsidR="00FF3312">
        <w:rPr>
          <w:b/>
          <w:bCs/>
          <w:color w:val="000000"/>
        </w:rPr>
        <w:t>potřebuje zajistit potřebné zdroje. Spolehlivé a diverzifikované financování TI</w:t>
      </w:r>
      <w:r w:rsidR="00AB7DCF">
        <w:rPr>
          <w:b/>
          <w:bCs/>
          <w:color w:val="000000"/>
        </w:rPr>
        <w:t xml:space="preserve"> umožňuje</w:t>
      </w:r>
      <w:r w:rsidR="00FF3312">
        <w:rPr>
          <w:b/>
          <w:bCs/>
          <w:color w:val="000000"/>
        </w:rPr>
        <w:t xml:space="preserve">, aby si zachovala svoji nezávislost, chránila své dobré jméno a </w:t>
      </w:r>
      <w:r w:rsidR="00AB7DCF">
        <w:rPr>
          <w:b/>
          <w:bCs/>
          <w:color w:val="000000"/>
        </w:rPr>
        <w:t xml:space="preserve">fungovala efektivním způsobem. </w:t>
      </w:r>
    </w:p>
    <w:p w:rsidR="002741DB" w:rsidRDefault="00995531" w:rsidP="002741DB">
      <w:pPr>
        <w:shd w:val="clear" w:color="auto" w:fill="FFFFFF"/>
        <w:spacing w:before="211"/>
        <w:ind w:left="24"/>
      </w:pPr>
      <w:r>
        <w:rPr>
          <w:b/>
          <w:bCs/>
          <w:color w:val="31286F"/>
          <w:spacing w:val="-16"/>
          <w:sz w:val="28"/>
          <w:szCs w:val="28"/>
        </w:rPr>
        <w:t>Východiska</w:t>
      </w:r>
    </w:p>
    <w:p w:rsidR="002741DB" w:rsidRDefault="004F03B4" w:rsidP="002741DB">
      <w:pPr>
        <w:shd w:val="clear" w:color="auto" w:fill="FFFFFF"/>
        <w:spacing w:before="211" w:line="230" w:lineRule="exact"/>
      </w:pPr>
      <w:r>
        <w:rPr>
          <w:color w:val="000000"/>
        </w:rPr>
        <w:t>Zdroje financování n</w:t>
      </w:r>
      <w:r w:rsidR="00AB7DCF">
        <w:rPr>
          <w:color w:val="000000"/>
        </w:rPr>
        <w:t>árodní</w:t>
      </w:r>
      <w:r>
        <w:rPr>
          <w:color w:val="000000"/>
        </w:rPr>
        <w:t>ch poboček</w:t>
      </w:r>
      <w:r w:rsidR="00AB7DCF" w:rsidRPr="006D518E">
        <w:rPr>
          <w:i/>
          <w:color w:val="000000"/>
        </w:rPr>
        <w:t xml:space="preserve"> </w:t>
      </w:r>
      <w:r w:rsidR="006D518E" w:rsidRPr="006D518E">
        <w:rPr>
          <w:i/>
          <w:color w:val="000000"/>
        </w:rPr>
        <w:t xml:space="preserve">(např. Transparency International Česká republika) </w:t>
      </w:r>
      <w:r w:rsidR="00AB7DCF">
        <w:rPr>
          <w:color w:val="000000"/>
        </w:rPr>
        <w:t>a sekretariát</w:t>
      </w:r>
      <w:r>
        <w:rPr>
          <w:color w:val="000000"/>
        </w:rPr>
        <w:t>u</w:t>
      </w:r>
      <w:r w:rsidR="00AB7DCF">
        <w:rPr>
          <w:color w:val="000000"/>
        </w:rPr>
        <w:t xml:space="preserve"> TI </w:t>
      </w:r>
      <w:r w:rsidRPr="00042DDD">
        <w:rPr>
          <w:i/>
          <w:color w:val="000000"/>
        </w:rPr>
        <w:t>(TI-S</w:t>
      </w:r>
      <w:r w:rsidR="00042DDD" w:rsidRPr="00042DDD">
        <w:rPr>
          <w:i/>
          <w:color w:val="000000"/>
        </w:rPr>
        <w:t>; ústřední kancelář se sídlem v Berlíně</w:t>
      </w:r>
      <w:r w:rsidRPr="00042DDD">
        <w:rPr>
          <w:i/>
          <w:color w:val="000000"/>
        </w:rPr>
        <w:t>)</w:t>
      </w:r>
      <w:r>
        <w:rPr>
          <w:color w:val="000000"/>
        </w:rPr>
        <w:t xml:space="preserve"> jsou různorodé</w:t>
      </w:r>
      <w:r w:rsidR="002741DB">
        <w:rPr>
          <w:color w:val="000000"/>
        </w:rPr>
        <w:t xml:space="preserve">: </w:t>
      </w:r>
      <w:r>
        <w:rPr>
          <w:color w:val="000000"/>
        </w:rPr>
        <w:t xml:space="preserve">nadace, vlády, soukromý sektor, jednotlivci, členské poplatky, příjem z publikací, akcí a jiných činností a z nadačního fondu. </w:t>
      </w:r>
      <w:r w:rsidR="00FD0EDF">
        <w:rPr>
          <w:color w:val="000000"/>
        </w:rPr>
        <w:t xml:space="preserve">Opora v mnoha zdrojích příjmu pomáhá TI si zachovat vlastní nezávislost. Financování </w:t>
      </w:r>
      <w:r w:rsidR="00CE55B4">
        <w:rPr>
          <w:color w:val="000000"/>
        </w:rPr>
        <w:t xml:space="preserve">může být otevřené, tj. </w:t>
      </w:r>
      <w:r w:rsidR="002F2636">
        <w:rPr>
          <w:color w:val="000000"/>
        </w:rPr>
        <w:t>nemusí podléhat</w:t>
      </w:r>
      <w:r w:rsidR="00D70CE8">
        <w:rPr>
          <w:color w:val="000000"/>
        </w:rPr>
        <w:t xml:space="preserve"> žádným omezením</w:t>
      </w:r>
      <w:r w:rsidR="00CE55B4">
        <w:rPr>
          <w:color w:val="000000"/>
        </w:rPr>
        <w:t>,</w:t>
      </w:r>
      <w:r w:rsidR="00372058">
        <w:rPr>
          <w:color w:val="000000"/>
        </w:rPr>
        <w:t xml:space="preserve"> nebo </w:t>
      </w:r>
      <w:r w:rsidR="002F2636">
        <w:rPr>
          <w:color w:val="000000"/>
        </w:rPr>
        <w:t>může být vázané</w:t>
      </w:r>
      <w:r w:rsidR="00372058">
        <w:rPr>
          <w:color w:val="000000"/>
        </w:rPr>
        <w:t xml:space="preserve"> na specifické projekty. </w:t>
      </w:r>
    </w:p>
    <w:p w:rsidR="002741DB" w:rsidRDefault="00D70CE8" w:rsidP="002741DB">
      <w:pPr>
        <w:shd w:val="clear" w:color="auto" w:fill="FFFFFF"/>
        <w:spacing w:before="226" w:line="230" w:lineRule="exact"/>
        <w:ind w:left="5"/>
      </w:pPr>
      <w:r>
        <w:rPr>
          <w:color w:val="000000"/>
        </w:rPr>
        <w:t>Národní pobočky a TI-S (</w:t>
      </w:r>
      <w:r w:rsidR="006D518E">
        <w:rPr>
          <w:color w:val="000000"/>
        </w:rPr>
        <w:t>kanceláře</w:t>
      </w:r>
      <w:r>
        <w:rPr>
          <w:color w:val="000000"/>
        </w:rPr>
        <w:t xml:space="preserve"> TI) obvykle získávají své vlastní finanční prostředky každý jednotlivě. Činnosti související se získáváním finančních prostředků pro sekretariát </w:t>
      </w:r>
      <w:r w:rsidR="002F2636">
        <w:rPr>
          <w:color w:val="000000"/>
        </w:rPr>
        <w:t xml:space="preserve">řídí a organizuje oddělení vztahů s dárci v TI-S. </w:t>
      </w:r>
      <w:r w:rsidR="004B7303">
        <w:rPr>
          <w:color w:val="000000"/>
        </w:rPr>
        <w:t>Významnější iniciativy zaměřené na získávání finančních prostředků pro hnutí sleduje a kontroluje podvýbor správní rady TI, pracovní skupina pro z</w:t>
      </w:r>
      <w:r w:rsidR="00CE55B4">
        <w:rPr>
          <w:color w:val="000000"/>
        </w:rPr>
        <w:t>ískávání finančních prostředků</w:t>
      </w:r>
      <w:r w:rsidR="00E90313">
        <w:rPr>
          <w:color w:val="000000"/>
        </w:rPr>
        <w:t xml:space="preserve">. Tento </w:t>
      </w:r>
      <w:r w:rsidR="00995531">
        <w:rPr>
          <w:color w:val="000000"/>
        </w:rPr>
        <w:t>pod</w:t>
      </w:r>
      <w:r w:rsidR="00E90313">
        <w:rPr>
          <w:color w:val="000000"/>
        </w:rPr>
        <w:t xml:space="preserve">výbor také vydává svá doporučení ve všech záležitostech, které mu jsou předloženy v rámci níže popsaného postupu. </w:t>
      </w:r>
    </w:p>
    <w:p w:rsidR="002741DB" w:rsidRDefault="002741DB" w:rsidP="002741DB">
      <w:pPr>
        <w:shd w:val="clear" w:color="auto" w:fill="FFFFFF"/>
        <w:spacing w:before="221" w:line="230" w:lineRule="exact"/>
        <w:ind w:left="10" w:right="182"/>
        <w:jc w:val="both"/>
      </w:pPr>
      <w:r>
        <w:rPr>
          <w:color w:val="000000"/>
          <w:spacing w:val="-1"/>
        </w:rPr>
        <w:t xml:space="preserve">TI </w:t>
      </w:r>
      <w:r w:rsidR="00E90313">
        <w:rPr>
          <w:color w:val="000000"/>
          <w:spacing w:val="-1"/>
        </w:rPr>
        <w:t xml:space="preserve">se nesmí vystavovat riziku, že ohrozí svoji dobrou pověst, kterou získala na základě poctivosti, otevřenosti a bezúhonnosti.  </w:t>
      </w:r>
      <w:r w:rsidR="00995531">
        <w:rPr>
          <w:color w:val="000000"/>
          <w:spacing w:val="-1"/>
        </w:rPr>
        <w:t xml:space="preserve">Dobré </w:t>
      </w:r>
      <w:proofErr w:type="gramStart"/>
      <w:r w:rsidR="00182D17">
        <w:rPr>
          <w:color w:val="000000"/>
          <w:spacing w:val="-1"/>
        </w:rPr>
        <w:t xml:space="preserve">jméno TI </w:t>
      </w:r>
      <w:r w:rsidR="00CE55B4">
        <w:rPr>
          <w:color w:val="000000"/>
          <w:spacing w:val="-1"/>
        </w:rPr>
        <w:t xml:space="preserve">by </w:t>
      </w:r>
      <w:r w:rsidR="00182D17">
        <w:rPr>
          <w:color w:val="000000"/>
          <w:spacing w:val="-1"/>
        </w:rPr>
        <w:t>mohlo</w:t>
      </w:r>
      <w:proofErr w:type="gramEnd"/>
      <w:r w:rsidR="00D441B4">
        <w:rPr>
          <w:color w:val="000000"/>
          <w:spacing w:val="-1"/>
        </w:rPr>
        <w:t xml:space="preserve"> být zkom</w:t>
      </w:r>
      <w:r w:rsidR="00995531">
        <w:rPr>
          <w:color w:val="000000"/>
          <w:spacing w:val="-1"/>
        </w:rPr>
        <w:t>promitováno, pokud by</w:t>
      </w:r>
      <w:r w:rsidR="00D441B4">
        <w:rPr>
          <w:color w:val="000000"/>
          <w:spacing w:val="-1"/>
        </w:rPr>
        <w:t xml:space="preserve"> </w:t>
      </w:r>
      <w:r w:rsidR="00CE55B4">
        <w:rPr>
          <w:color w:val="000000"/>
          <w:spacing w:val="-1"/>
        </w:rPr>
        <w:t xml:space="preserve">organizace </w:t>
      </w:r>
      <w:r w:rsidR="00D441B4">
        <w:rPr>
          <w:color w:val="000000"/>
          <w:spacing w:val="-1"/>
        </w:rPr>
        <w:t>obdržela finanční prostředky ze zdrojů</w:t>
      </w:r>
      <w:r w:rsidR="00995531">
        <w:rPr>
          <w:color w:val="000000"/>
          <w:spacing w:val="-1"/>
        </w:rPr>
        <w:t xml:space="preserve"> vyvíjejících činnost, která je vnímána jako </w:t>
      </w:r>
      <w:r w:rsidR="00D441B4">
        <w:rPr>
          <w:color w:val="000000"/>
          <w:spacing w:val="-1"/>
        </w:rPr>
        <w:t>neslučiteln</w:t>
      </w:r>
      <w:r w:rsidR="00995531">
        <w:rPr>
          <w:color w:val="000000"/>
          <w:spacing w:val="-1"/>
        </w:rPr>
        <w:t>á</w:t>
      </w:r>
      <w:r w:rsidR="00D441B4">
        <w:rPr>
          <w:color w:val="000000"/>
          <w:spacing w:val="-1"/>
        </w:rPr>
        <w:t xml:space="preserve"> s posláním TI.  </w:t>
      </w:r>
    </w:p>
    <w:p w:rsidR="002741DB" w:rsidRDefault="00995531" w:rsidP="002741DB">
      <w:pPr>
        <w:shd w:val="clear" w:color="auto" w:fill="FFFFFF"/>
        <w:spacing w:before="211"/>
        <w:ind w:left="24"/>
      </w:pPr>
      <w:r>
        <w:rPr>
          <w:b/>
          <w:bCs/>
          <w:color w:val="31286F"/>
          <w:spacing w:val="-16"/>
          <w:sz w:val="28"/>
          <w:szCs w:val="28"/>
        </w:rPr>
        <w:t>Politika</w:t>
      </w:r>
    </w:p>
    <w:p w:rsidR="002741DB" w:rsidRDefault="002A5C38" w:rsidP="002741DB">
      <w:pPr>
        <w:shd w:val="clear" w:color="auto" w:fill="FFFFFF"/>
        <w:spacing w:before="216" w:line="230" w:lineRule="exact"/>
      </w:pPr>
      <w:r>
        <w:rPr>
          <w:color w:val="000000"/>
          <w:spacing w:val="-1"/>
        </w:rPr>
        <w:t xml:space="preserve">TI na základě své politiky přijímá finanční prostředky od všech dárců, a to v peněžité nebo nepeněžité podobě, za podmínky že takové přijetí finančních prostředků: </w:t>
      </w:r>
    </w:p>
    <w:p w:rsidR="002741DB" w:rsidRDefault="002A5C38" w:rsidP="002741DB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245"/>
        <w:ind w:left="370"/>
        <w:rPr>
          <w:rFonts w:eastAsia="Times New Roman" w:cs="Times New Roman"/>
          <w:color w:val="000000"/>
        </w:rPr>
      </w:pPr>
      <w:r>
        <w:rPr>
          <w:rFonts w:eastAsia="Times New Roman"/>
          <w:color w:val="000000"/>
        </w:rPr>
        <w:t>nenaruší nezávislost TI při usilování o naplnění svého poslání</w:t>
      </w:r>
    </w:p>
    <w:p w:rsidR="002741DB" w:rsidRDefault="002A5C38" w:rsidP="002741DB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0"/>
        <w:ind w:left="370"/>
        <w:rPr>
          <w:rFonts w:eastAsia="Times New Roman" w:cs="Times New Roman"/>
          <w:color w:val="000000"/>
        </w:rPr>
      </w:pPr>
      <w:r>
        <w:rPr>
          <w:rFonts w:eastAsia="Times New Roman"/>
          <w:color w:val="000000"/>
          <w:spacing w:val="-1"/>
        </w:rPr>
        <w:t>neohrozí její bezúhonnost a dobrou pověst</w:t>
      </w:r>
      <w:r w:rsidR="002741DB">
        <w:rPr>
          <w:rFonts w:eastAsia="Times New Roman"/>
          <w:color w:val="000000"/>
          <w:spacing w:val="-1"/>
        </w:rPr>
        <w:t>.</w:t>
      </w:r>
    </w:p>
    <w:p w:rsidR="002741DB" w:rsidRDefault="002A5C38" w:rsidP="002741DB">
      <w:pPr>
        <w:shd w:val="clear" w:color="auto" w:fill="FFFFFF"/>
        <w:spacing w:before="216"/>
        <w:ind w:left="14"/>
      </w:pPr>
      <w:r>
        <w:rPr>
          <w:b/>
          <w:bCs/>
          <w:color w:val="31286F"/>
          <w:spacing w:val="-17"/>
          <w:sz w:val="28"/>
          <w:szCs w:val="28"/>
        </w:rPr>
        <w:t>Rozsah</w:t>
      </w:r>
    </w:p>
    <w:p w:rsidR="002741DB" w:rsidRDefault="002A5C38" w:rsidP="002741DB">
      <w:pPr>
        <w:shd w:val="clear" w:color="auto" w:fill="FFFFFF"/>
        <w:spacing w:before="221" w:line="226" w:lineRule="exact"/>
      </w:pPr>
      <w:r>
        <w:rPr>
          <w:color w:val="000000"/>
          <w:spacing w:val="-1"/>
        </w:rPr>
        <w:t xml:space="preserve">Tato politika se vztahuje na </w:t>
      </w:r>
      <w:r w:rsidR="00F24982">
        <w:rPr>
          <w:color w:val="000000"/>
          <w:spacing w:val="-1"/>
        </w:rPr>
        <w:t xml:space="preserve">veškeré získávání finančních prostředků pro všechny </w:t>
      </w:r>
      <w:r w:rsidR="006D518E">
        <w:rPr>
          <w:color w:val="000000"/>
          <w:spacing w:val="-1"/>
        </w:rPr>
        <w:t>kanceláře</w:t>
      </w:r>
      <w:r w:rsidR="00F24982">
        <w:rPr>
          <w:color w:val="000000"/>
          <w:spacing w:val="-1"/>
        </w:rPr>
        <w:t xml:space="preserve"> TI, nehledě na typ dárce nebo související částky, není-li v tomto dokumentu stanoveno jinak. V budoucnu se má uplatňovat u všech nových finančních prostředků od stávajících dárců a u všech nových dárců. </w:t>
      </w:r>
      <w:r w:rsidR="002741DB">
        <w:rPr>
          <w:color w:val="000000"/>
        </w:rPr>
        <w:t xml:space="preserve"> </w:t>
      </w:r>
      <w:r w:rsidR="00F24982">
        <w:rPr>
          <w:color w:val="000000"/>
        </w:rPr>
        <w:t xml:space="preserve">Nevztahuje se na příjem získaný z prodeje publikací nebo poplatků za účast na konferencích, akcích a dalších aktivitách. Vždy by se mělo dbát na ochranu dobrého jména TI. </w:t>
      </w:r>
    </w:p>
    <w:p w:rsidR="002741DB" w:rsidRDefault="002A5C38" w:rsidP="002741DB">
      <w:pPr>
        <w:shd w:val="clear" w:color="auto" w:fill="FFFFFF"/>
        <w:spacing w:before="211"/>
        <w:ind w:left="14"/>
      </w:pPr>
      <w:r>
        <w:rPr>
          <w:b/>
          <w:bCs/>
          <w:color w:val="31286F"/>
          <w:spacing w:val="-14"/>
          <w:sz w:val="28"/>
          <w:szCs w:val="28"/>
        </w:rPr>
        <w:t>Zásady</w:t>
      </w:r>
    </w:p>
    <w:p w:rsidR="002741DB" w:rsidRDefault="000303FB" w:rsidP="002741DB">
      <w:pPr>
        <w:shd w:val="clear" w:color="auto" w:fill="FFFFFF"/>
        <w:spacing w:before="216" w:line="230" w:lineRule="exact"/>
        <w:ind w:left="5"/>
      </w:pPr>
      <w:r>
        <w:rPr>
          <w:color w:val="000000"/>
        </w:rPr>
        <w:t xml:space="preserve">Úsilí o získávání finančních prostředků umožňujících orgánům TI vykonávat jejich práci </w:t>
      </w:r>
      <w:r w:rsidR="00CE55B4">
        <w:rPr>
          <w:color w:val="000000"/>
        </w:rPr>
        <w:t>je třeba</w:t>
      </w:r>
      <w:r>
        <w:rPr>
          <w:color w:val="000000"/>
        </w:rPr>
        <w:t xml:space="preserve"> zaměřovat na široké spektrum zdrojů. </w:t>
      </w:r>
      <w:r w:rsidR="00CE55B4">
        <w:rPr>
          <w:color w:val="000000"/>
        </w:rPr>
        <w:t>Je třeba</w:t>
      </w:r>
      <w:r>
        <w:rPr>
          <w:color w:val="000000"/>
        </w:rPr>
        <w:t xml:space="preserve"> pečlivě zajistit, aby finanční prostředky související s projekty v důsledku neměly nepřiměřený vliv na práci v programech </w:t>
      </w:r>
      <w:proofErr w:type="gramStart"/>
      <w:r>
        <w:rPr>
          <w:color w:val="000000"/>
        </w:rPr>
        <w:t>TI</w:t>
      </w:r>
      <w:proofErr w:type="gramEnd"/>
      <w:r>
        <w:rPr>
          <w:color w:val="000000"/>
        </w:rPr>
        <w:t xml:space="preserve">.  </w:t>
      </w:r>
      <w:r w:rsidR="006D518E">
        <w:rPr>
          <w:color w:val="000000"/>
        </w:rPr>
        <w:t>Kanceláře</w:t>
      </w:r>
      <w:r>
        <w:rPr>
          <w:color w:val="000000"/>
        </w:rPr>
        <w:t xml:space="preserve"> TI mohou přijímat finanční prostředky ze všech </w:t>
      </w:r>
      <w:r w:rsidR="00DD377C">
        <w:rPr>
          <w:color w:val="000000"/>
        </w:rPr>
        <w:t xml:space="preserve">typů zdrojů, pod podmínkou že zůstane zachována nezávislost a dobrá pověst TI. </w:t>
      </w:r>
    </w:p>
    <w:p w:rsidR="002741DB" w:rsidRDefault="00DD377C" w:rsidP="002741DB">
      <w:pPr>
        <w:shd w:val="clear" w:color="auto" w:fill="FFFFFF"/>
        <w:spacing w:before="230" w:line="226" w:lineRule="exact"/>
        <w:ind w:left="5"/>
      </w:pPr>
      <w:r>
        <w:rPr>
          <w:color w:val="000000"/>
          <w:spacing w:val="-1"/>
        </w:rPr>
        <w:t>Každ</w:t>
      </w:r>
      <w:r w:rsidR="006D518E">
        <w:rPr>
          <w:color w:val="000000"/>
          <w:spacing w:val="-1"/>
        </w:rPr>
        <w:t>á</w:t>
      </w:r>
      <w:r>
        <w:rPr>
          <w:color w:val="000000"/>
          <w:spacing w:val="-1"/>
        </w:rPr>
        <w:t xml:space="preserve"> </w:t>
      </w:r>
      <w:proofErr w:type="gramStart"/>
      <w:r w:rsidR="006D518E">
        <w:rPr>
          <w:color w:val="000000"/>
          <w:spacing w:val="-1"/>
        </w:rPr>
        <w:t>kancelář</w:t>
      </w:r>
      <w:r>
        <w:rPr>
          <w:color w:val="000000"/>
          <w:spacing w:val="-1"/>
        </w:rPr>
        <w:t xml:space="preserve"> TI by měl</w:t>
      </w:r>
      <w:proofErr w:type="gramEnd"/>
      <w:r>
        <w:rPr>
          <w:color w:val="000000"/>
          <w:spacing w:val="-1"/>
        </w:rPr>
        <w:t xml:space="preserve"> vykazovat seznam všech darů nad 1000 </w:t>
      </w:r>
      <w:r w:rsidR="002741DB">
        <w:rPr>
          <w:rFonts w:eastAsia="Times New Roman" w:cs="Times New Roman"/>
          <w:color w:val="000000"/>
          <w:spacing w:val="-1"/>
        </w:rPr>
        <w:t>€</w:t>
      </w:r>
      <w:r w:rsidR="002741DB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1"/>
        </w:rPr>
        <w:t>a měl by je zveřejnit kromě jiného také ve výroční zprávě pobočky a na svých webových stránkách</w:t>
      </w:r>
      <w:r w:rsidR="001365D8">
        <w:rPr>
          <w:rFonts w:eastAsia="Times New Roman"/>
          <w:color w:val="000000"/>
          <w:spacing w:val="-1"/>
        </w:rPr>
        <w:t>, přičemž stejné platí i v případě</w:t>
      </w:r>
      <w:r>
        <w:rPr>
          <w:rFonts w:eastAsia="Times New Roman"/>
          <w:color w:val="000000"/>
          <w:spacing w:val="-1"/>
        </w:rPr>
        <w:t xml:space="preserve"> TI-S</w:t>
      </w:r>
      <w:r w:rsidR="006D518E">
        <w:rPr>
          <w:rFonts w:eastAsia="Times New Roman"/>
          <w:color w:val="000000"/>
          <w:spacing w:val="-1"/>
        </w:rPr>
        <w:t xml:space="preserve"> (sekretariát TI)</w:t>
      </w:r>
      <w:r>
        <w:rPr>
          <w:rFonts w:eastAsia="Times New Roman"/>
          <w:color w:val="000000"/>
          <w:spacing w:val="-1"/>
        </w:rPr>
        <w:t xml:space="preserve">.  </w:t>
      </w:r>
      <w:r w:rsidR="001365D8">
        <w:rPr>
          <w:rFonts w:eastAsia="Times New Roman"/>
          <w:color w:val="000000"/>
          <w:spacing w:val="-1"/>
        </w:rPr>
        <w:t xml:space="preserve">Pokud existuje značné riziko, že by přijetí finančních prostředků z určitého zdroje narušilo nezávislost </w:t>
      </w:r>
      <w:proofErr w:type="gramStart"/>
      <w:r w:rsidR="001365D8">
        <w:rPr>
          <w:rFonts w:eastAsia="Times New Roman"/>
          <w:color w:val="000000"/>
          <w:spacing w:val="-1"/>
        </w:rPr>
        <w:t>TI</w:t>
      </w:r>
      <w:proofErr w:type="gramEnd"/>
      <w:r w:rsidR="001365D8">
        <w:rPr>
          <w:rFonts w:eastAsia="Times New Roman"/>
          <w:color w:val="000000"/>
          <w:spacing w:val="-1"/>
        </w:rPr>
        <w:t xml:space="preserve">, nebo pokud je dobré jméno TI vystaveno značnému riziku kvůli veřejnému spojení s dárcem, nesmí </w:t>
      </w:r>
      <w:r w:rsidR="006D518E">
        <w:rPr>
          <w:rFonts w:eastAsia="Times New Roman"/>
          <w:color w:val="000000"/>
          <w:spacing w:val="-1"/>
        </w:rPr>
        <w:t>kancelář</w:t>
      </w:r>
      <w:r w:rsidR="001365D8">
        <w:rPr>
          <w:rFonts w:eastAsia="Times New Roman"/>
          <w:color w:val="000000"/>
          <w:spacing w:val="-1"/>
        </w:rPr>
        <w:t xml:space="preserve"> TI finanční prostředky z takového zdroje přijmout.   </w:t>
      </w:r>
    </w:p>
    <w:p w:rsidR="002741DB" w:rsidRDefault="002741DB" w:rsidP="002741DB">
      <w:pPr>
        <w:rPr>
          <w:rFonts w:eastAsia="Times New Roman" w:cs="Times New Roman"/>
          <w:color w:val="000000"/>
          <w:spacing w:val="-6"/>
          <w:sz w:val="18"/>
          <w:szCs w:val="18"/>
        </w:rPr>
      </w:pPr>
    </w:p>
    <w:p w:rsidR="006B612B" w:rsidRDefault="002741DB" w:rsidP="002741DB">
      <w:pPr>
        <w:rPr>
          <w:rFonts w:eastAsia="Times New Roman"/>
          <w:color w:val="000000"/>
          <w:spacing w:val="-6"/>
          <w:sz w:val="18"/>
          <w:szCs w:val="18"/>
        </w:rPr>
      </w:pPr>
      <w:r>
        <w:rPr>
          <w:rFonts w:eastAsia="Times New Roman" w:cs="Times New Roman"/>
          <w:color w:val="000000"/>
          <w:spacing w:val="-6"/>
          <w:sz w:val="18"/>
          <w:szCs w:val="18"/>
        </w:rPr>
        <w:t>©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2011 Transparency International. </w:t>
      </w:r>
      <w:r w:rsidR="002A5C38">
        <w:rPr>
          <w:rFonts w:eastAsia="Times New Roman"/>
          <w:color w:val="000000"/>
          <w:spacing w:val="-6"/>
          <w:sz w:val="18"/>
          <w:szCs w:val="18"/>
        </w:rPr>
        <w:t>Veškerá práva vyhrazena</w:t>
      </w:r>
    </w:p>
    <w:p w:rsidR="002A5C38" w:rsidRDefault="002A5C38" w:rsidP="002741DB">
      <w:pPr>
        <w:shd w:val="clear" w:color="auto" w:fill="FFFFFF"/>
        <w:spacing w:line="230" w:lineRule="exact"/>
        <w:ind w:left="10"/>
        <w:rPr>
          <w:color w:val="000000"/>
        </w:rPr>
      </w:pPr>
    </w:p>
    <w:p w:rsidR="002741DB" w:rsidRDefault="001365D8" w:rsidP="002741DB">
      <w:pPr>
        <w:shd w:val="clear" w:color="auto" w:fill="FFFFFF"/>
        <w:spacing w:line="230" w:lineRule="exact"/>
        <w:ind w:left="10"/>
      </w:pPr>
      <w:r>
        <w:rPr>
          <w:color w:val="000000"/>
        </w:rPr>
        <w:t xml:space="preserve">Jakýkoliv dar určený </w:t>
      </w:r>
      <w:r w:rsidR="006D518E">
        <w:rPr>
          <w:color w:val="000000"/>
        </w:rPr>
        <w:t>kanceláři</w:t>
      </w:r>
      <w:r w:rsidR="000826F1">
        <w:rPr>
          <w:color w:val="000000"/>
        </w:rPr>
        <w:t xml:space="preserve"> TI musí být schopen obstát při</w:t>
      </w:r>
      <w:r>
        <w:rPr>
          <w:color w:val="000000"/>
        </w:rPr>
        <w:t xml:space="preserve"> důkladné </w:t>
      </w:r>
      <w:r w:rsidR="004D1F34">
        <w:rPr>
          <w:color w:val="000000"/>
        </w:rPr>
        <w:t xml:space="preserve">veřejné kontrole.  Pro nezávislost TI je nezbytná možnost podrobit dárce </w:t>
      </w:r>
      <w:r w:rsidR="000826F1">
        <w:rPr>
          <w:color w:val="000000"/>
        </w:rPr>
        <w:t>stejné kritice ze strany TI</w:t>
      </w:r>
      <w:r w:rsidR="00CE55B4">
        <w:rPr>
          <w:color w:val="000000"/>
        </w:rPr>
        <w:t>,</w:t>
      </w:r>
      <w:r w:rsidR="000826F1">
        <w:rPr>
          <w:color w:val="000000"/>
        </w:rPr>
        <w:t xml:space="preserve"> jaké je vystavena</w:t>
      </w:r>
      <w:r w:rsidR="004D1F34">
        <w:rPr>
          <w:color w:val="000000"/>
        </w:rPr>
        <w:t xml:space="preserve"> kterákoliv jiná organizace nebo jednotlivec v obdobné situaci. </w:t>
      </w:r>
      <w:r>
        <w:rPr>
          <w:color w:val="000000"/>
        </w:rPr>
        <w:t xml:space="preserve"> </w:t>
      </w:r>
      <w:r w:rsidR="004D1F34">
        <w:rPr>
          <w:color w:val="000000"/>
        </w:rPr>
        <w:t xml:space="preserve">Dárce obviněný ze zapojení do korupce nemůže od TI očekávat žádnou ochranu. </w:t>
      </w:r>
    </w:p>
    <w:p w:rsidR="002741DB" w:rsidRDefault="002741DB" w:rsidP="002741DB">
      <w:pPr>
        <w:shd w:val="clear" w:color="auto" w:fill="FFFFFF"/>
        <w:spacing w:before="230" w:line="226" w:lineRule="exact"/>
        <w:ind w:left="5"/>
      </w:pPr>
      <w:r>
        <w:rPr>
          <w:color w:val="000000"/>
        </w:rPr>
        <w:t xml:space="preserve">TI </w:t>
      </w:r>
      <w:r w:rsidR="004D1F34">
        <w:rPr>
          <w:color w:val="000000"/>
        </w:rPr>
        <w:t xml:space="preserve">může přijímat finanční prostředky od obchodních společností a dárců ze soukromého sektoru. Neznamená to, že tím schvaluje politiku nebo </w:t>
      </w:r>
      <w:r w:rsidR="005A584B">
        <w:rPr>
          <w:color w:val="000000"/>
        </w:rPr>
        <w:t xml:space="preserve">dosahované výsledky společnosti poskytující dar.  Je vhodné, aby </w:t>
      </w:r>
      <w:r w:rsidR="000826F1">
        <w:rPr>
          <w:color w:val="000000"/>
        </w:rPr>
        <w:t xml:space="preserve">se </w:t>
      </w:r>
      <w:r w:rsidR="005A584B">
        <w:rPr>
          <w:color w:val="000000"/>
        </w:rPr>
        <w:t xml:space="preserve">společnost, která se případně chce stát potenciálním dárcem, veřejně zavázala k dodržování etických </w:t>
      </w:r>
      <w:proofErr w:type="gramStart"/>
      <w:r w:rsidR="005A584B">
        <w:rPr>
          <w:color w:val="000000"/>
        </w:rPr>
        <w:t xml:space="preserve">norem  </w:t>
      </w:r>
      <w:r>
        <w:rPr>
          <w:color w:val="000000"/>
          <w:spacing w:val="-1"/>
        </w:rPr>
        <w:t>(</w:t>
      </w:r>
      <w:r w:rsidR="005A584B">
        <w:rPr>
          <w:color w:val="000000"/>
          <w:spacing w:val="-1"/>
        </w:rPr>
        <w:t>jako</w:t>
      </w:r>
      <w:proofErr w:type="gramEnd"/>
      <w:r w:rsidR="005A584B">
        <w:rPr>
          <w:color w:val="000000"/>
          <w:spacing w:val="-1"/>
        </w:rPr>
        <w:t xml:space="preserve"> je platforma Global Compact pod záštitou OSN, </w:t>
      </w:r>
      <w:r w:rsidR="000826F1">
        <w:rPr>
          <w:color w:val="000000"/>
          <w:spacing w:val="-1"/>
        </w:rPr>
        <w:t>obchodní zásady atd.)</w:t>
      </w:r>
      <w:r w:rsidR="00D8431A">
        <w:rPr>
          <w:color w:val="000000"/>
          <w:spacing w:val="-1"/>
        </w:rPr>
        <w:t>,</w:t>
      </w:r>
      <w:r w:rsidR="000826F1">
        <w:rPr>
          <w:color w:val="000000"/>
          <w:spacing w:val="-1"/>
        </w:rPr>
        <w:t xml:space="preserve"> </w:t>
      </w:r>
      <w:r w:rsidR="00D8431A">
        <w:rPr>
          <w:color w:val="000000"/>
          <w:spacing w:val="-1"/>
        </w:rPr>
        <w:t xml:space="preserve">a </w:t>
      </w:r>
      <w:r w:rsidR="00C57B3C">
        <w:rPr>
          <w:color w:val="000000"/>
          <w:spacing w:val="-1"/>
        </w:rPr>
        <w:t>kanceláře</w:t>
      </w:r>
      <w:r w:rsidR="00D8431A">
        <w:rPr>
          <w:color w:val="000000"/>
          <w:spacing w:val="-1"/>
        </w:rPr>
        <w:t xml:space="preserve"> TI mohou požadovat, aby firemní dárci před tím, než bude přijat jakýkoliv jejich dar, svým podpisem potvrdili svůj závazek k bezúhonnosti. Žádn</w:t>
      </w:r>
      <w:r w:rsidR="00C57B3C">
        <w:rPr>
          <w:color w:val="000000"/>
          <w:spacing w:val="-1"/>
        </w:rPr>
        <w:t>á</w:t>
      </w:r>
      <w:r w:rsidR="00D8431A">
        <w:rPr>
          <w:color w:val="000000"/>
          <w:spacing w:val="-1"/>
        </w:rPr>
        <w:t xml:space="preserve"> </w:t>
      </w:r>
      <w:proofErr w:type="gramStart"/>
      <w:r w:rsidR="00C57B3C">
        <w:rPr>
          <w:color w:val="000000"/>
          <w:spacing w:val="-1"/>
        </w:rPr>
        <w:t>kancelář</w:t>
      </w:r>
      <w:r w:rsidR="00D8431A">
        <w:rPr>
          <w:color w:val="000000"/>
          <w:spacing w:val="-1"/>
        </w:rPr>
        <w:t xml:space="preserve"> TI by neměl</w:t>
      </w:r>
      <w:r w:rsidR="00C57B3C">
        <w:rPr>
          <w:color w:val="000000"/>
          <w:spacing w:val="-1"/>
        </w:rPr>
        <w:t>a</w:t>
      </w:r>
      <w:proofErr w:type="gramEnd"/>
      <w:r w:rsidR="00D8431A">
        <w:rPr>
          <w:color w:val="000000"/>
          <w:spacing w:val="-1"/>
        </w:rPr>
        <w:t xml:space="preserve"> přijmout dar od společnosti</w:t>
      </w:r>
      <w:r w:rsidR="00336B1E">
        <w:rPr>
          <w:color w:val="000000"/>
          <w:spacing w:val="-1"/>
        </w:rPr>
        <w:t xml:space="preserve">, u které se zjistí účast na korupci, pokud tato společnost nemůže prokázat, že se jednalo o porušení zásad společnosti, že nedodržení těchto zásad se řeší odpovídajícím způsobem nebo že její zásady byly doplněny tak, aby se podobnému porušení v budoucnosti zabránilo. </w:t>
      </w:r>
      <w:r>
        <w:rPr>
          <w:rFonts w:eastAsia="Times New Roman"/>
          <w:color w:val="000000"/>
          <w:spacing w:val="-1"/>
        </w:rPr>
        <w:t xml:space="preserve">TI </w:t>
      </w:r>
      <w:r w:rsidR="00336B1E">
        <w:rPr>
          <w:rFonts w:eastAsia="Times New Roman"/>
          <w:color w:val="000000"/>
          <w:spacing w:val="-1"/>
        </w:rPr>
        <w:t xml:space="preserve">pracuje s obchodními společnostmi za předpokladu, že své úsilí směřují k podnikatelskému prostředí, ve kterém je úplatkářství nepřijatelné. </w:t>
      </w:r>
    </w:p>
    <w:p w:rsidR="002741DB" w:rsidRDefault="002A5C38" w:rsidP="002741DB">
      <w:pPr>
        <w:shd w:val="clear" w:color="auto" w:fill="FFFFFF"/>
        <w:spacing w:before="230"/>
        <w:ind w:left="24"/>
      </w:pPr>
      <w:r>
        <w:rPr>
          <w:color w:val="31286F"/>
          <w:sz w:val="26"/>
          <w:szCs w:val="26"/>
        </w:rPr>
        <w:t>Postup</w:t>
      </w:r>
    </w:p>
    <w:p w:rsidR="002741DB" w:rsidRDefault="00336B1E" w:rsidP="002741DB">
      <w:pPr>
        <w:shd w:val="clear" w:color="auto" w:fill="FFFFFF"/>
        <w:spacing w:before="221" w:line="230" w:lineRule="exact"/>
      </w:pPr>
      <w:r>
        <w:rPr>
          <w:color w:val="000000"/>
        </w:rPr>
        <w:t xml:space="preserve">Odpovědnost za </w:t>
      </w:r>
      <w:r w:rsidR="00157B88">
        <w:rPr>
          <w:color w:val="000000"/>
        </w:rPr>
        <w:t>to, že nezávislost a dobré jméno TI nebudou vystaveny žádnému riziku, nesou zaměstnanci a správní rada TI. Níže uvedený postup popisuje kroky, které by se měly dodržovat, je-li zaměstnanec nebo člen správní rady přesvědčen, že kter</w:t>
      </w:r>
      <w:r w:rsidR="00C57B3C">
        <w:rPr>
          <w:color w:val="000000"/>
        </w:rPr>
        <w:t>á</w:t>
      </w:r>
      <w:r w:rsidR="00157B88">
        <w:rPr>
          <w:color w:val="000000"/>
        </w:rPr>
        <w:t>koliv z </w:t>
      </w:r>
      <w:r w:rsidR="00C57B3C">
        <w:rPr>
          <w:color w:val="000000"/>
        </w:rPr>
        <w:t>kanceláří</w:t>
      </w:r>
      <w:r w:rsidR="00157B88">
        <w:rPr>
          <w:color w:val="000000"/>
        </w:rPr>
        <w:t xml:space="preserve"> TI přijal</w:t>
      </w:r>
      <w:r w:rsidR="00C57B3C">
        <w:rPr>
          <w:color w:val="000000"/>
        </w:rPr>
        <w:t>a</w:t>
      </w:r>
      <w:r w:rsidR="00157B88">
        <w:rPr>
          <w:color w:val="000000"/>
        </w:rPr>
        <w:t xml:space="preserve"> nebo zvažuje přijetí finančních zdrojů z nevhodného zdroje. Tento postup mohou použít také jiné osoby spojené s TI. </w:t>
      </w:r>
    </w:p>
    <w:p w:rsidR="002741DB" w:rsidRDefault="00157B88" w:rsidP="002741DB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230" w:line="226" w:lineRule="exact"/>
        <w:ind w:left="720" w:hanging="355"/>
        <w:rPr>
          <w:color w:val="000000"/>
          <w:spacing w:val="-19"/>
        </w:rPr>
      </w:pPr>
      <w:r>
        <w:rPr>
          <w:color w:val="000000"/>
        </w:rPr>
        <w:t xml:space="preserve">Pokud má zaměstnanec nebo člen správní rady </w:t>
      </w:r>
      <w:r w:rsidR="00C57B3C">
        <w:rPr>
          <w:color w:val="000000"/>
        </w:rPr>
        <w:t>pobočky</w:t>
      </w:r>
      <w:r>
        <w:rPr>
          <w:color w:val="000000"/>
        </w:rPr>
        <w:t xml:space="preserve"> TI obavy, že nezávislost neb</w:t>
      </w:r>
      <w:r w:rsidR="0035165F">
        <w:rPr>
          <w:color w:val="000000"/>
        </w:rPr>
        <w:t xml:space="preserve">o dobré jméno TI jsou ohroženy dary, které již byly přijaty nebo mají být přijaty, měl by na to upozornit ředitele nebo předsedu správní rady </w:t>
      </w:r>
      <w:r w:rsidR="00682F51">
        <w:rPr>
          <w:color w:val="000000"/>
        </w:rPr>
        <w:t xml:space="preserve">příslušné </w:t>
      </w:r>
      <w:r w:rsidR="00C57B3C">
        <w:rPr>
          <w:color w:val="000000"/>
        </w:rPr>
        <w:t xml:space="preserve">pobočky </w:t>
      </w:r>
      <w:r w:rsidR="0035165F">
        <w:rPr>
          <w:color w:val="000000"/>
        </w:rPr>
        <w:t xml:space="preserve">TI. </w:t>
      </w:r>
    </w:p>
    <w:p w:rsidR="002741DB" w:rsidRDefault="0035165F" w:rsidP="002741D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30" w:lineRule="exact"/>
        <w:ind w:left="720" w:hanging="355"/>
        <w:rPr>
          <w:color w:val="000000"/>
          <w:spacing w:val="-12"/>
        </w:rPr>
      </w:pPr>
      <w:r>
        <w:rPr>
          <w:color w:val="000000"/>
        </w:rPr>
        <w:t xml:space="preserve">V nezbytném případě se ředitel nebo předseda správní rady obrátí na pracovní skupinu </w:t>
      </w:r>
      <w:r w:rsidR="00682F51">
        <w:rPr>
          <w:color w:val="000000"/>
        </w:rPr>
        <w:t xml:space="preserve">správní rady TI </w:t>
      </w:r>
      <w:r>
        <w:rPr>
          <w:color w:val="000000"/>
        </w:rPr>
        <w:t xml:space="preserve">pro získávání finančních prostředků a požádá ji o radu, zda finanční prostředky od konkrétního dárce přijmout. </w:t>
      </w:r>
    </w:p>
    <w:p w:rsidR="002741DB" w:rsidRDefault="0035165F" w:rsidP="002741D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30" w:lineRule="exact"/>
        <w:ind w:left="720" w:hanging="355"/>
        <w:rPr>
          <w:color w:val="000000"/>
          <w:spacing w:val="-14"/>
        </w:rPr>
      </w:pPr>
      <w:r>
        <w:rPr>
          <w:color w:val="000000"/>
        </w:rPr>
        <w:t xml:space="preserve">Pracovní skupina </w:t>
      </w:r>
      <w:r w:rsidR="00182D17">
        <w:rPr>
          <w:color w:val="000000"/>
        </w:rPr>
        <w:t>pro získávání finančních prostředků by měla být upozorněna na k</w:t>
      </w:r>
      <w:r>
        <w:rPr>
          <w:color w:val="000000"/>
        </w:rPr>
        <w:t xml:space="preserve">aždý případný návrh kteréhokoliv orgánu </w:t>
      </w:r>
      <w:proofErr w:type="gramStart"/>
      <w:r>
        <w:rPr>
          <w:color w:val="000000"/>
        </w:rPr>
        <w:t>TI</w:t>
      </w:r>
      <w:proofErr w:type="gramEnd"/>
      <w:r>
        <w:rPr>
          <w:color w:val="000000"/>
        </w:rPr>
        <w:t xml:space="preserve">, aby bylo v určitém roce od </w:t>
      </w:r>
      <w:r w:rsidR="00182D17">
        <w:rPr>
          <w:color w:val="000000"/>
        </w:rPr>
        <w:t>jakékoliv</w:t>
      </w:r>
      <w:r>
        <w:rPr>
          <w:color w:val="000000"/>
        </w:rPr>
        <w:t xml:space="preserve"> soukromé společnosti přijato více než </w:t>
      </w:r>
      <w:r w:rsidR="00182D17">
        <w:rPr>
          <w:rFonts w:eastAsia="Times New Roman"/>
          <w:color w:val="000000"/>
        </w:rPr>
        <w:t>100,000</w:t>
      </w:r>
      <w:r>
        <w:rPr>
          <w:color w:val="000000"/>
        </w:rPr>
        <w:t xml:space="preserve"> </w:t>
      </w:r>
      <w:r>
        <w:rPr>
          <w:rFonts w:eastAsia="Times New Roman" w:cs="Times New Roman"/>
          <w:color w:val="000000"/>
        </w:rPr>
        <w:t>€</w:t>
      </w:r>
      <w:r>
        <w:rPr>
          <w:rFonts w:eastAsia="Times New Roman"/>
          <w:color w:val="000000"/>
        </w:rPr>
        <w:t xml:space="preserve"> </w:t>
      </w:r>
      <w:r w:rsidR="002741DB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</w:rPr>
        <w:t xml:space="preserve">nebo jakákoliv částka přesahující </w:t>
      </w:r>
      <w:r w:rsidR="002741DB">
        <w:rPr>
          <w:rFonts w:eastAsia="Times New Roman"/>
          <w:color w:val="000000"/>
          <w:spacing w:val="-1"/>
        </w:rPr>
        <w:t xml:space="preserve">20% </w:t>
      </w:r>
      <w:r>
        <w:rPr>
          <w:rFonts w:eastAsia="Times New Roman"/>
          <w:color w:val="000000"/>
          <w:spacing w:val="-1"/>
        </w:rPr>
        <w:t>celkového rozpočtu</w:t>
      </w:r>
      <w:r w:rsidR="00682F51">
        <w:rPr>
          <w:rFonts w:eastAsia="Times New Roman"/>
          <w:color w:val="000000"/>
          <w:spacing w:val="-1"/>
        </w:rPr>
        <w:t xml:space="preserve"> příslušné</w:t>
      </w:r>
      <w:r w:rsidR="00C91CFD">
        <w:rPr>
          <w:rFonts w:eastAsia="Times New Roman"/>
          <w:color w:val="000000"/>
          <w:spacing w:val="-1"/>
        </w:rPr>
        <w:t xml:space="preserve"> kanceláře </w:t>
      </w:r>
      <w:r w:rsidR="00682F51">
        <w:rPr>
          <w:rFonts w:eastAsia="Times New Roman"/>
          <w:color w:val="000000"/>
          <w:spacing w:val="-1"/>
        </w:rPr>
        <w:t>TI</w:t>
      </w:r>
      <w:bookmarkStart w:id="0" w:name="_GoBack"/>
      <w:bookmarkEnd w:id="0"/>
      <w:r w:rsidR="002741DB">
        <w:rPr>
          <w:rFonts w:eastAsia="Times New Roman"/>
          <w:color w:val="000000"/>
          <w:spacing w:val="-1"/>
        </w:rPr>
        <w:t>)</w:t>
      </w:r>
      <w:r w:rsidR="00182D17">
        <w:rPr>
          <w:rFonts w:eastAsia="Times New Roman"/>
          <w:color w:val="000000"/>
          <w:spacing w:val="-1"/>
        </w:rPr>
        <w:t xml:space="preserve"> a měla by k němu vydat svoje doporučení. </w:t>
      </w:r>
      <w:r>
        <w:rPr>
          <w:rFonts w:eastAsia="Times New Roman"/>
          <w:color w:val="000000"/>
          <w:spacing w:val="-1"/>
        </w:rPr>
        <w:t xml:space="preserve"> </w:t>
      </w:r>
    </w:p>
    <w:p w:rsidR="002741DB" w:rsidRDefault="00182D17" w:rsidP="002741D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30" w:lineRule="exact"/>
        <w:ind w:left="720" w:hanging="355"/>
        <w:rPr>
          <w:color w:val="000000"/>
          <w:spacing w:val="-12"/>
        </w:rPr>
      </w:pPr>
      <w:r>
        <w:rPr>
          <w:color w:val="000000"/>
          <w:spacing w:val="-1"/>
        </w:rPr>
        <w:t xml:space="preserve">Veškerá komunikace s pracovní skupinou správní rady TI pro získávání finančních prostředků by měla probíhat prostřednictvím člena správní rady TI nebo výkonného ředitele TI-S. </w:t>
      </w:r>
    </w:p>
    <w:p w:rsidR="002741DB" w:rsidRDefault="00182D17" w:rsidP="002741DB">
      <w:pPr>
        <w:shd w:val="clear" w:color="auto" w:fill="FFFFFF"/>
        <w:spacing w:before="221" w:line="230" w:lineRule="exact"/>
        <w:ind w:left="14" w:right="883"/>
      </w:pPr>
      <w:r>
        <w:rPr>
          <w:color w:val="000000"/>
          <w:spacing w:val="-1"/>
        </w:rPr>
        <w:t xml:space="preserve">Pracovní skupina pro získávání finančních prostředků oznámí správní radě TI všechny pokyny vydané na základě tohoto postupu. </w:t>
      </w:r>
    </w:p>
    <w:p w:rsidR="00042DDD" w:rsidRDefault="00042DDD" w:rsidP="002741DB">
      <w:pPr>
        <w:shd w:val="clear" w:color="auto" w:fill="FFFFFF"/>
        <w:spacing w:before="120"/>
        <w:ind w:left="10"/>
        <w:rPr>
          <w:i/>
          <w:iCs/>
          <w:color w:val="000000"/>
        </w:rPr>
      </w:pPr>
    </w:p>
    <w:p w:rsidR="002741DB" w:rsidRDefault="00182D17" w:rsidP="002741DB">
      <w:pPr>
        <w:shd w:val="clear" w:color="auto" w:fill="FFFFFF"/>
        <w:spacing w:before="120"/>
        <w:ind w:left="10"/>
      </w:pPr>
      <w:r>
        <w:rPr>
          <w:i/>
          <w:iCs/>
          <w:color w:val="000000"/>
        </w:rPr>
        <w:t xml:space="preserve">Schválila výroční členská schůze Transparency International dne 10. října 2004 </w:t>
      </w:r>
    </w:p>
    <w:p w:rsidR="002741DB" w:rsidRDefault="002741DB" w:rsidP="002741DB">
      <w:pPr>
        <w:shd w:val="clear" w:color="auto" w:fill="FFFFFF"/>
        <w:spacing w:before="120"/>
        <w:ind w:left="5"/>
        <w:rPr>
          <w:rFonts w:eastAsia="Times New Roman" w:cs="Times New Roman"/>
          <w:color w:val="000000"/>
          <w:spacing w:val="-6"/>
          <w:sz w:val="18"/>
          <w:szCs w:val="18"/>
        </w:rPr>
      </w:pPr>
    </w:p>
    <w:p w:rsidR="002741DB" w:rsidRDefault="002741DB" w:rsidP="002741DB">
      <w:pPr>
        <w:shd w:val="clear" w:color="auto" w:fill="FFFFFF"/>
        <w:spacing w:before="120"/>
        <w:ind w:left="5"/>
        <w:rPr>
          <w:rFonts w:eastAsia="Times New Roman" w:cs="Times New Roman"/>
          <w:color w:val="000000"/>
          <w:spacing w:val="-6"/>
          <w:sz w:val="18"/>
          <w:szCs w:val="18"/>
        </w:rPr>
      </w:pPr>
    </w:p>
    <w:p w:rsidR="002741DB" w:rsidRDefault="002741DB" w:rsidP="002741DB">
      <w:pPr>
        <w:shd w:val="clear" w:color="auto" w:fill="FFFFFF"/>
        <w:spacing w:before="120"/>
        <w:ind w:left="5"/>
        <w:rPr>
          <w:rFonts w:eastAsia="Times New Roman" w:cs="Times New Roman"/>
          <w:color w:val="000000"/>
          <w:spacing w:val="-6"/>
          <w:sz w:val="18"/>
          <w:szCs w:val="18"/>
        </w:rPr>
      </w:pPr>
    </w:p>
    <w:p w:rsidR="002741DB" w:rsidRDefault="002741DB" w:rsidP="002741DB">
      <w:pPr>
        <w:shd w:val="clear" w:color="auto" w:fill="FFFFFF"/>
        <w:spacing w:before="120"/>
        <w:ind w:left="5"/>
        <w:rPr>
          <w:rFonts w:eastAsia="Times New Roman" w:cs="Times New Roman"/>
          <w:color w:val="000000"/>
          <w:spacing w:val="-6"/>
          <w:sz w:val="18"/>
          <w:szCs w:val="18"/>
        </w:rPr>
      </w:pPr>
    </w:p>
    <w:p w:rsidR="002741DB" w:rsidRDefault="002741DB" w:rsidP="002741DB">
      <w:pPr>
        <w:shd w:val="clear" w:color="auto" w:fill="FFFFFF"/>
        <w:spacing w:before="120"/>
        <w:ind w:left="5"/>
        <w:rPr>
          <w:rFonts w:eastAsia="Times New Roman" w:cs="Times New Roman"/>
          <w:color w:val="000000"/>
          <w:spacing w:val="-6"/>
          <w:sz w:val="18"/>
          <w:szCs w:val="18"/>
        </w:rPr>
      </w:pPr>
    </w:p>
    <w:p w:rsidR="002741DB" w:rsidRDefault="002741DB" w:rsidP="002741DB">
      <w:pPr>
        <w:shd w:val="clear" w:color="auto" w:fill="FFFFFF"/>
        <w:spacing w:before="120"/>
        <w:ind w:left="5"/>
        <w:rPr>
          <w:rFonts w:eastAsia="Times New Roman" w:cs="Times New Roman"/>
          <w:color w:val="000000"/>
          <w:spacing w:val="-6"/>
          <w:sz w:val="18"/>
          <w:szCs w:val="18"/>
        </w:rPr>
      </w:pPr>
    </w:p>
    <w:p w:rsidR="002741DB" w:rsidRDefault="002741DB" w:rsidP="002741DB">
      <w:pPr>
        <w:shd w:val="clear" w:color="auto" w:fill="FFFFFF"/>
        <w:spacing w:before="120"/>
        <w:ind w:left="5"/>
        <w:rPr>
          <w:rFonts w:eastAsia="Times New Roman" w:cs="Times New Roman"/>
          <w:color w:val="000000"/>
          <w:spacing w:val="-6"/>
          <w:sz w:val="18"/>
          <w:szCs w:val="18"/>
        </w:rPr>
      </w:pPr>
    </w:p>
    <w:p w:rsidR="002741DB" w:rsidRDefault="002741DB" w:rsidP="002741DB">
      <w:pPr>
        <w:shd w:val="clear" w:color="auto" w:fill="FFFFFF"/>
        <w:spacing w:before="120"/>
        <w:ind w:left="5"/>
        <w:rPr>
          <w:rFonts w:eastAsia="Times New Roman" w:cs="Times New Roman"/>
          <w:color w:val="000000"/>
          <w:spacing w:val="-6"/>
          <w:sz w:val="18"/>
          <w:szCs w:val="18"/>
        </w:rPr>
      </w:pPr>
    </w:p>
    <w:p w:rsidR="002741DB" w:rsidRDefault="002741DB" w:rsidP="002741DB">
      <w:pPr>
        <w:shd w:val="clear" w:color="auto" w:fill="FFFFFF"/>
        <w:spacing w:before="120"/>
        <w:ind w:left="5"/>
        <w:rPr>
          <w:rFonts w:eastAsia="Times New Roman" w:cs="Times New Roman"/>
          <w:color w:val="000000"/>
          <w:spacing w:val="-6"/>
          <w:sz w:val="18"/>
          <w:szCs w:val="18"/>
        </w:rPr>
      </w:pPr>
    </w:p>
    <w:p w:rsidR="002741DB" w:rsidRDefault="002741DB" w:rsidP="002741DB">
      <w:pPr>
        <w:shd w:val="clear" w:color="auto" w:fill="FFFFFF"/>
        <w:spacing w:before="120"/>
        <w:ind w:left="5"/>
        <w:rPr>
          <w:rFonts w:eastAsia="Times New Roman" w:cs="Times New Roman"/>
          <w:color w:val="000000"/>
          <w:spacing w:val="-6"/>
          <w:sz w:val="18"/>
          <w:szCs w:val="18"/>
        </w:rPr>
      </w:pPr>
    </w:p>
    <w:p w:rsidR="002741DB" w:rsidRDefault="002741DB" w:rsidP="002741DB">
      <w:pPr>
        <w:shd w:val="clear" w:color="auto" w:fill="FFFFFF"/>
        <w:spacing w:before="120"/>
        <w:ind w:left="5"/>
      </w:pPr>
      <w:r>
        <w:rPr>
          <w:rFonts w:eastAsia="Times New Roman" w:cs="Times New Roman"/>
          <w:color w:val="000000"/>
          <w:spacing w:val="-6"/>
          <w:sz w:val="18"/>
          <w:szCs w:val="18"/>
        </w:rPr>
        <w:t>©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2011 Transparency International. </w:t>
      </w:r>
      <w:r w:rsidR="002F2636">
        <w:rPr>
          <w:rFonts w:eastAsia="Times New Roman"/>
          <w:color w:val="000000"/>
          <w:spacing w:val="-6"/>
          <w:sz w:val="18"/>
          <w:szCs w:val="18"/>
        </w:rPr>
        <w:t>Veškerá práva vyhrazena</w:t>
      </w:r>
      <w:r>
        <w:rPr>
          <w:rFonts w:eastAsia="Times New Roman"/>
          <w:color w:val="000000"/>
          <w:spacing w:val="-6"/>
          <w:sz w:val="18"/>
          <w:szCs w:val="18"/>
        </w:rPr>
        <w:t>.</w:t>
      </w:r>
    </w:p>
    <w:p w:rsidR="002741DB" w:rsidRDefault="002741DB" w:rsidP="002741DB"/>
    <w:sectPr w:rsidR="002741DB" w:rsidSect="00CE55B4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FD" w:rsidRDefault="00C91CFD" w:rsidP="002741DB">
      <w:r>
        <w:separator/>
      </w:r>
    </w:p>
  </w:endnote>
  <w:endnote w:type="continuationSeparator" w:id="0">
    <w:p w:rsidR="00C91CFD" w:rsidRDefault="00C91CFD" w:rsidP="00274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FD" w:rsidRDefault="00C91CFD" w:rsidP="002741DB">
      <w:r>
        <w:separator/>
      </w:r>
    </w:p>
  </w:footnote>
  <w:footnote w:type="continuationSeparator" w:id="0">
    <w:p w:rsidR="00C91CFD" w:rsidRDefault="00C91CFD" w:rsidP="00274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FD" w:rsidRDefault="00C91CFD" w:rsidP="002741DB">
    <w:pPr>
      <w:framePr w:h="989" w:hSpace="10080" w:wrap="notBeside" w:vAnchor="text" w:hAnchor="margin" w:x="1" w:y="1"/>
      <w:rPr>
        <w:sz w:val="24"/>
        <w:szCs w:val="24"/>
      </w:rPr>
    </w:pPr>
  </w:p>
  <w:p w:rsidR="00C91CFD" w:rsidRDefault="00C91CFD" w:rsidP="002741DB">
    <w:pPr>
      <w:spacing w:line="1" w:lineRule="exact"/>
      <w:rPr>
        <w:sz w:val="2"/>
        <w:szCs w:val="2"/>
      </w:rPr>
    </w:pPr>
  </w:p>
  <w:p w:rsidR="00C91CFD" w:rsidRDefault="00C91CFD" w:rsidP="002741DB">
    <w:pPr>
      <w:pStyle w:val="Zhlav"/>
      <w:jc w:val="right"/>
    </w:pPr>
    <w:r>
      <w:rPr>
        <w:noProof/>
        <w:sz w:val="24"/>
        <w:szCs w:val="24"/>
      </w:rPr>
      <w:drawing>
        <wp:inline distT="0" distB="0" distL="0" distR="0">
          <wp:extent cx="2417445" cy="628015"/>
          <wp:effectExtent l="0" t="0" r="1905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44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6A3234"/>
    <w:lvl w:ilvl="0">
      <w:numFmt w:val="bullet"/>
      <w:lvlText w:val="*"/>
      <w:lvlJc w:val="left"/>
    </w:lvl>
  </w:abstractNum>
  <w:abstractNum w:abstractNumId="1">
    <w:nsid w:val="454B0FAA"/>
    <w:multiLevelType w:val="singleLevel"/>
    <w:tmpl w:val="D6C0047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1DB"/>
    <w:rsid w:val="000303FB"/>
    <w:rsid w:val="00042DDD"/>
    <w:rsid w:val="000826F1"/>
    <w:rsid w:val="000B2D02"/>
    <w:rsid w:val="001365D8"/>
    <w:rsid w:val="00157B88"/>
    <w:rsid w:val="00182D17"/>
    <w:rsid w:val="002741DB"/>
    <w:rsid w:val="002A5C38"/>
    <w:rsid w:val="002F2636"/>
    <w:rsid w:val="00336B1E"/>
    <w:rsid w:val="0035165F"/>
    <w:rsid w:val="00372058"/>
    <w:rsid w:val="004334E9"/>
    <w:rsid w:val="004B7303"/>
    <w:rsid w:val="004D1F34"/>
    <w:rsid w:val="004F03B4"/>
    <w:rsid w:val="00501FF7"/>
    <w:rsid w:val="005963EB"/>
    <w:rsid w:val="005A584B"/>
    <w:rsid w:val="00682F51"/>
    <w:rsid w:val="006B612B"/>
    <w:rsid w:val="006D518E"/>
    <w:rsid w:val="007D0608"/>
    <w:rsid w:val="00975B98"/>
    <w:rsid w:val="00995531"/>
    <w:rsid w:val="009E7AC4"/>
    <w:rsid w:val="00AB7DCF"/>
    <w:rsid w:val="00B70F8F"/>
    <w:rsid w:val="00C57B3C"/>
    <w:rsid w:val="00C91CFD"/>
    <w:rsid w:val="00CE55B4"/>
    <w:rsid w:val="00D441B4"/>
    <w:rsid w:val="00D70CE8"/>
    <w:rsid w:val="00D8431A"/>
    <w:rsid w:val="00DD377C"/>
    <w:rsid w:val="00E75A1B"/>
    <w:rsid w:val="00E90313"/>
    <w:rsid w:val="00F24982"/>
    <w:rsid w:val="00FD0EDF"/>
    <w:rsid w:val="00FF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41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41DB"/>
  </w:style>
  <w:style w:type="paragraph" w:styleId="Zpat">
    <w:name w:val="footer"/>
    <w:basedOn w:val="Normln"/>
    <w:link w:val="ZpatChar"/>
    <w:uiPriority w:val="99"/>
    <w:unhideWhenUsed/>
    <w:rsid w:val="002741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41DB"/>
  </w:style>
  <w:style w:type="paragraph" w:styleId="Textbubliny">
    <w:name w:val="Balloon Text"/>
    <w:basedOn w:val="Normln"/>
    <w:link w:val="TextbublinyChar"/>
    <w:uiPriority w:val="99"/>
    <w:semiHidden/>
    <w:unhideWhenUsed/>
    <w:rsid w:val="002741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1D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334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34E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34E9"/>
    <w:rPr>
      <w:rFonts w:ascii="Arial" w:eastAsiaTheme="minorEastAsia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34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34E9"/>
    <w:rPr>
      <w:rFonts w:ascii="Arial" w:eastAsiaTheme="minorEastAsia" w:hAnsi="Arial" w:cs="Arial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41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41DB"/>
  </w:style>
  <w:style w:type="paragraph" w:styleId="Zpat">
    <w:name w:val="footer"/>
    <w:basedOn w:val="Normln"/>
    <w:link w:val="ZpatChar"/>
    <w:uiPriority w:val="99"/>
    <w:unhideWhenUsed/>
    <w:rsid w:val="002741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41DB"/>
  </w:style>
  <w:style w:type="paragraph" w:styleId="Textbubliny">
    <w:name w:val="Balloon Text"/>
    <w:basedOn w:val="Normln"/>
    <w:link w:val="TextbublinyChar"/>
    <w:uiPriority w:val="99"/>
    <w:semiHidden/>
    <w:unhideWhenUsed/>
    <w:rsid w:val="002741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1D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334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34E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34E9"/>
    <w:rPr>
      <w:rFonts w:ascii="Arial" w:eastAsiaTheme="minorEastAsia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34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34E9"/>
    <w:rPr>
      <w:rFonts w:ascii="Arial" w:eastAsiaTheme="minorEastAsia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D3C7-AEE3-4EAC-A35C-A9FA98F1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922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</dc:creator>
  <cp:lastModifiedBy>Kristyna</cp:lastModifiedBy>
  <cp:revision>6</cp:revision>
  <dcterms:created xsi:type="dcterms:W3CDTF">2013-01-19T10:42:00Z</dcterms:created>
  <dcterms:modified xsi:type="dcterms:W3CDTF">2013-01-21T14:13:00Z</dcterms:modified>
</cp:coreProperties>
</file>