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4888" w:rsidRPr="00114082" w:rsidRDefault="007F2FC3" w:rsidP="00114082">
      <w:pPr>
        <w:tabs>
          <w:tab w:val="center" w:pos="4749"/>
        </w:tabs>
        <w:spacing w:after="0"/>
        <w:ind w:left="-142" w:right="-1"/>
        <w:rPr>
          <w:rFonts w:cstheme="minorHAnsi"/>
          <w:b/>
        </w:rPr>
      </w:pPr>
      <w:r w:rsidRPr="00114082">
        <w:rPr>
          <w:rFonts w:cstheme="minorHAnsi"/>
          <w:b/>
        </w:rPr>
        <w:t>TISKOVÁ ZPRÁVA</w:t>
      </w:r>
      <w:r w:rsidR="00121CFE" w:rsidRPr="00114082">
        <w:rPr>
          <w:rFonts w:cstheme="minorHAnsi"/>
          <w:b/>
        </w:rPr>
        <w:t xml:space="preserve"> </w:t>
      </w:r>
      <w:r w:rsidR="00114082">
        <w:rPr>
          <w:rFonts w:cstheme="minorHAnsi"/>
          <w:b/>
        </w:rPr>
        <w:tab/>
      </w:r>
    </w:p>
    <w:p w:rsidR="00D13F57" w:rsidRPr="00114082" w:rsidRDefault="00D13F57" w:rsidP="00114082">
      <w:pPr>
        <w:spacing w:after="0"/>
        <w:ind w:left="-142" w:right="-1"/>
        <w:rPr>
          <w:rFonts w:cstheme="minorHAnsi"/>
        </w:rPr>
      </w:pPr>
      <w:r w:rsidRPr="00114082">
        <w:rPr>
          <w:rFonts w:cstheme="minorHAnsi"/>
          <w:b/>
        </w:rPr>
        <w:t>Pr</w:t>
      </w:r>
      <w:r w:rsidR="002A4888" w:rsidRPr="00114082">
        <w:rPr>
          <w:rFonts w:cstheme="minorHAnsi"/>
          <w:b/>
        </w:rPr>
        <w:t>aha,</w:t>
      </w:r>
      <w:r w:rsidRPr="00114082">
        <w:rPr>
          <w:rFonts w:cstheme="minorHAnsi"/>
          <w:b/>
        </w:rPr>
        <w:t xml:space="preserve"> </w:t>
      </w:r>
      <w:r w:rsidR="00DA78FC" w:rsidRPr="00114082">
        <w:rPr>
          <w:rFonts w:cstheme="minorHAnsi"/>
          <w:b/>
        </w:rPr>
        <w:t>10</w:t>
      </w:r>
      <w:r w:rsidR="004546A9" w:rsidRPr="00114082">
        <w:rPr>
          <w:rFonts w:cstheme="minorHAnsi"/>
          <w:b/>
        </w:rPr>
        <w:t xml:space="preserve">. </w:t>
      </w:r>
      <w:r w:rsidR="00DA78FC" w:rsidRPr="00114082">
        <w:rPr>
          <w:rFonts w:cstheme="minorHAnsi"/>
          <w:b/>
        </w:rPr>
        <w:t>července</w:t>
      </w:r>
      <w:r w:rsidR="004546A9" w:rsidRPr="00114082">
        <w:rPr>
          <w:rFonts w:cstheme="minorHAnsi"/>
          <w:b/>
        </w:rPr>
        <w:t xml:space="preserve"> </w:t>
      </w:r>
      <w:r w:rsidRPr="00114082">
        <w:rPr>
          <w:rFonts w:cstheme="minorHAnsi"/>
          <w:b/>
        </w:rPr>
        <w:t>201</w:t>
      </w:r>
      <w:r w:rsidR="00DA78FC" w:rsidRPr="00114082">
        <w:rPr>
          <w:rFonts w:cstheme="minorHAnsi"/>
          <w:b/>
        </w:rPr>
        <w:t>2</w:t>
      </w:r>
    </w:p>
    <w:p w:rsidR="00620FCB" w:rsidRPr="00620FCB" w:rsidRDefault="00620FCB" w:rsidP="00114082">
      <w:pPr>
        <w:autoSpaceDE w:val="0"/>
        <w:autoSpaceDN w:val="0"/>
        <w:adjustRightInd w:val="0"/>
        <w:spacing w:after="0" w:line="240" w:lineRule="auto"/>
        <w:ind w:left="-142" w:right="-1"/>
        <w:rPr>
          <w:rFonts w:ascii="Arial" w:eastAsia="Times New Roman" w:hAnsi="Arial" w:cs="Arial"/>
          <w:color w:val="000000"/>
          <w:sz w:val="24"/>
          <w:szCs w:val="24"/>
        </w:rPr>
      </w:pPr>
    </w:p>
    <w:p w:rsidR="00620FCB" w:rsidRPr="00114082" w:rsidRDefault="00C75539" w:rsidP="00114082">
      <w:pPr>
        <w:autoSpaceDE w:val="0"/>
        <w:autoSpaceDN w:val="0"/>
        <w:adjustRightInd w:val="0"/>
        <w:spacing w:after="0" w:line="240" w:lineRule="auto"/>
        <w:ind w:left="-142" w:right="-1"/>
        <w:jc w:val="both"/>
        <w:rPr>
          <w:rFonts w:ascii="Arial" w:eastAsia="Times New Roman" w:hAnsi="Arial" w:cs="Arial"/>
          <w:color w:val="000000"/>
          <w:sz w:val="28"/>
          <w:szCs w:val="28"/>
        </w:rPr>
      </w:pPr>
      <w:r w:rsidRPr="00114082">
        <w:rPr>
          <w:rFonts w:ascii="Cambria" w:eastAsia="Times New Roman" w:hAnsi="Cambria" w:cs="Times New Roman"/>
          <w:b/>
          <w:bCs/>
          <w:color w:val="365F91"/>
          <w:sz w:val="28"/>
          <w:szCs w:val="28"/>
          <w:lang w:eastAsia="en-US"/>
        </w:rPr>
        <w:t>Transparency International: nadnárodní korporace musí být mnohem více transparentní</w:t>
      </w:r>
      <w:r w:rsidR="00071C3A" w:rsidRPr="00114082">
        <w:rPr>
          <w:rFonts w:ascii="Cambria" w:eastAsia="Times New Roman" w:hAnsi="Cambria" w:cs="Times New Roman"/>
          <w:b/>
          <w:bCs/>
          <w:color w:val="365F91"/>
          <w:sz w:val="28"/>
          <w:szCs w:val="28"/>
          <w:lang w:eastAsia="en-US"/>
        </w:rPr>
        <w:t xml:space="preserve">, </w:t>
      </w:r>
      <w:r w:rsidR="00583A6F" w:rsidRPr="00114082">
        <w:rPr>
          <w:rFonts w:ascii="Cambria" w:eastAsia="Times New Roman" w:hAnsi="Cambria" w:cs="Times New Roman"/>
          <w:b/>
          <w:bCs/>
          <w:color w:val="365F91"/>
          <w:sz w:val="28"/>
          <w:szCs w:val="28"/>
          <w:lang w:eastAsia="en-US"/>
        </w:rPr>
        <w:t>nesou</w:t>
      </w:r>
      <w:r w:rsidR="00071C3A" w:rsidRPr="00114082">
        <w:rPr>
          <w:rFonts w:ascii="Cambria" w:eastAsia="Times New Roman" w:hAnsi="Cambria" w:cs="Times New Roman"/>
          <w:b/>
          <w:bCs/>
          <w:color w:val="365F91"/>
          <w:sz w:val="28"/>
          <w:szCs w:val="28"/>
          <w:lang w:eastAsia="en-US"/>
        </w:rPr>
        <w:t xml:space="preserve"> svou odpovědnost za </w:t>
      </w:r>
      <w:r w:rsidR="00583A6F" w:rsidRPr="00114082">
        <w:rPr>
          <w:rFonts w:ascii="Cambria" w:eastAsia="Times New Roman" w:hAnsi="Cambria" w:cs="Times New Roman"/>
          <w:b/>
          <w:bCs/>
          <w:color w:val="365F91"/>
          <w:sz w:val="28"/>
          <w:szCs w:val="28"/>
          <w:lang w:eastAsia="en-US"/>
        </w:rPr>
        <w:t>stav ekonomiky</w:t>
      </w:r>
      <w:r w:rsidRPr="00114082">
        <w:rPr>
          <w:rFonts w:ascii="Cambria" w:eastAsia="Times New Roman" w:hAnsi="Cambria" w:cs="Times New Roman"/>
          <w:b/>
          <w:bCs/>
          <w:color w:val="365F91"/>
          <w:sz w:val="28"/>
          <w:szCs w:val="28"/>
          <w:lang w:eastAsia="en-US"/>
        </w:rPr>
        <w:t xml:space="preserve"> </w:t>
      </w:r>
      <w:r w:rsidR="0073200A" w:rsidRPr="00114082">
        <w:rPr>
          <w:rFonts w:ascii="Cambria" w:eastAsia="Times New Roman" w:hAnsi="Cambria" w:cs="Times New Roman"/>
          <w:b/>
          <w:bCs/>
          <w:color w:val="365F91"/>
          <w:sz w:val="28"/>
          <w:szCs w:val="28"/>
          <w:lang w:eastAsia="en-US"/>
        </w:rPr>
        <w:t>a korupce</w:t>
      </w:r>
      <w:r w:rsidR="00620FCB" w:rsidRPr="00114082">
        <w:rPr>
          <w:rFonts w:ascii="Arial" w:eastAsia="Times New Roman" w:hAnsi="Arial" w:cs="Arial"/>
          <w:b/>
          <w:bCs/>
          <w:color w:val="000000"/>
          <w:sz w:val="28"/>
          <w:szCs w:val="28"/>
        </w:rPr>
        <w:t xml:space="preserve"> </w:t>
      </w:r>
    </w:p>
    <w:p w:rsidR="00620FCB" w:rsidRPr="00620FCB" w:rsidRDefault="00620FCB" w:rsidP="00114082">
      <w:pPr>
        <w:autoSpaceDE w:val="0"/>
        <w:autoSpaceDN w:val="0"/>
        <w:adjustRightInd w:val="0"/>
        <w:spacing w:after="0" w:line="240" w:lineRule="auto"/>
        <w:ind w:left="-142" w:right="-1"/>
        <w:rPr>
          <w:rFonts w:ascii="Arial" w:eastAsia="Times New Roman" w:hAnsi="Arial" w:cs="Arial"/>
          <w:color w:val="000000"/>
        </w:rPr>
      </w:pPr>
      <w:r w:rsidRPr="00620FCB">
        <w:rPr>
          <w:rFonts w:ascii="Arial" w:eastAsia="Times New Roman" w:hAnsi="Arial" w:cs="Arial"/>
          <w:color w:val="000000"/>
        </w:rPr>
        <w:t xml:space="preserve"> </w:t>
      </w:r>
    </w:p>
    <w:p w:rsidR="00B17261" w:rsidRDefault="00F82C94" w:rsidP="00114082">
      <w:pPr>
        <w:autoSpaceDE w:val="0"/>
        <w:autoSpaceDN w:val="0"/>
        <w:adjustRightInd w:val="0"/>
        <w:spacing w:after="0" w:line="240" w:lineRule="auto"/>
        <w:ind w:left="-142" w:right="-1"/>
        <w:jc w:val="both"/>
        <w:rPr>
          <w:rFonts w:ascii="Arial" w:eastAsia="Times New Roman" w:hAnsi="Arial" w:cs="Arial"/>
          <w:color w:val="000000"/>
        </w:rPr>
      </w:pPr>
      <w:r w:rsidRPr="00F82C94">
        <w:rPr>
          <w:rFonts w:ascii="Arial" w:eastAsia="Times New Roman" w:hAnsi="Arial" w:cs="Arial"/>
          <w:b/>
          <w:color w:val="000000"/>
        </w:rPr>
        <w:t>Globální nadnárodní korporace ovlivňují každodenní život většiny lidí na světě. Do jaké míry je jejich byznys skutečně transparentní? Na to se zaměřil unikátní výzkum Transparency International (TI) mezi 105 největšími světovými korporacemi, které seřadil do žebříčku podle míry otevřenosti jejich podnikání.</w:t>
      </w:r>
      <w:r>
        <w:rPr>
          <w:rFonts w:ascii="Arial" w:eastAsia="Times New Roman" w:hAnsi="Arial" w:cs="Arial"/>
          <w:color w:val="000000"/>
        </w:rPr>
        <w:t xml:space="preserve"> </w:t>
      </w:r>
      <w:proofErr w:type="gramStart"/>
      <w:r>
        <w:rPr>
          <w:rFonts w:ascii="Arial" w:eastAsia="Times New Roman" w:hAnsi="Arial" w:cs="Arial"/>
          <w:color w:val="000000"/>
        </w:rPr>
        <w:t>TI hodnotila</w:t>
      </w:r>
      <w:proofErr w:type="gramEnd"/>
      <w:r>
        <w:rPr>
          <w:rFonts w:ascii="Arial" w:eastAsia="Times New Roman" w:hAnsi="Arial" w:cs="Arial"/>
          <w:color w:val="000000"/>
        </w:rPr>
        <w:t xml:space="preserve"> otevřenost </w:t>
      </w:r>
      <w:r w:rsidR="00114082">
        <w:rPr>
          <w:rFonts w:ascii="Arial" w:eastAsia="Times New Roman" w:hAnsi="Arial" w:cs="Arial"/>
          <w:color w:val="000000"/>
        </w:rPr>
        <w:t>informová</w:t>
      </w:r>
      <w:r w:rsidR="00114082">
        <w:rPr>
          <w:rFonts w:ascii="Arial" w:eastAsia="Times New Roman" w:hAnsi="Arial" w:cs="Arial"/>
          <w:color w:val="000000"/>
        </w:rPr>
        <w:t xml:space="preserve">ní </w:t>
      </w:r>
      <w:r>
        <w:rPr>
          <w:rFonts w:ascii="Arial" w:eastAsia="Times New Roman" w:hAnsi="Arial" w:cs="Arial"/>
          <w:color w:val="000000"/>
        </w:rPr>
        <w:t>o interních protikorupčních mechanismech, vnitřní struktuře korporací včetně všech dceřiných společností ve světě, plnění daňových povinností, ziscích v jednotlivých zemích nebo platbách jednotlivým vládám při zahraničních investicích</w:t>
      </w:r>
      <w:r>
        <w:rPr>
          <w:rFonts w:ascii="Arial" w:eastAsia="Times New Roman" w:hAnsi="Arial" w:cs="Arial"/>
          <w:color w:val="000000"/>
        </w:rPr>
        <w:t>.</w:t>
      </w:r>
    </w:p>
    <w:p w:rsidR="00F82C94" w:rsidRPr="00B17261" w:rsidRDefault="00F82C94" w:rsidP="00114082">
      <w:pPr>
        <w:autoSpaceDE w:val="0"/>
        <w:autoSpaceDN w:val="0"/>
        <w:adjustRightInd w:val="0"/>
        <w:spacing w:after="0" w:line="240" w:lineRule="auto"/>
        <w:ind w:left="-142" w:right="-1"/>
        <w:jc w:val="both"/>
        <w:rPr>
          <w:rFonts w:ascii="Arial" w:eastAsia="Times New Roman" w:hAnsi="Arial" w:cs="Arial"/>
          <w:color w:val="000000"/>
        </w:rPr>
      </w:pPr>
    </w:p>
    <w:p w:rsidR="00B17261" w:rsidRPr="00E20AE3" w:rsidRDefault="00F82C94" w:rsidP="00114082">
      <w:pPr>
        <w:autoSpaceDE w:val="0"/>
        <w:autoSpaceDN w:val="0"/>
        <w:adjustRightInd w:val="0"/>
        <w:spacing w:after="0" w:line="240" w:lineRule="auto"/>
        <w:ind w:left="-142" w:right="-1"/>
        <w:jc w:val="both"/>
        <w:rPr>
          <w:rFonts w:ascii="Arial" w:eastAsia="Times New Roman" w:hAnsi="Arial" w:cs="Arial"/>
          <w:b/>
          <w:color w:val="000000"/>
        </w:rPr>
      </w:pPr>
      <w:r>
        <w:rPr>
          <w:rFonts w:ascii="Arial" w:eastAsia="Times New Roman" w:hAnsi="Arial" w:cs="Arial"/>
          <w:color w:val="000000"/>
        </w:rPr>
        <w:t xml:space="preserve">Premiantem je společnost </w:t>
      </w:r>
      <w:proofErr w:type="spellStart"/>
      <w:r w:rsidR="00B17261" w:rsidRPr="00620FCB">
        <w:rPr>
          <w:rFonts w:ascii="Arial" w:eastAsia="Times New Roman" w:hAnsi="Arial" w:cs="Arial"/>
          <w:b/>
          <w:color w:val="000000"/>
        </w:rPr>
        <w:t>Statoil</w:t>
      </w:r>
      <w:proofErr w:type="spellEnd"/>
      <w:r w:rsidR="00B17261" w:rsidRPr="00620FCB">
        <w:rPr>
          <w:rFonts w:ascii="Arial" w:eastAsia="Times New Roman" w:hAnsi="Arial" w:cs="Arial"/>
          <w:b/>
          <w:color w:val="000000"/>
        </w:rPr>
        <w:t xml:space="preserve">, </w:t>
      </w:r>
      <w:r>
        <w:rPr>
          <w:rFonts w:ascii="Arial" w:eastAsia="Times New Roman" w:hAnsi="Arial" w:cs="Arial"/>
          <w:b/>
          <w:color w:val="000000"/>
        </w:rPr>
        <w:t xml:space="preserve">následují </w:t>
      </w:r>
      <w:proofErr w:type="spellStart"/>
      <w:r w:rsidR="00E20AE3" w:rsidRPr="00E20AE3">
        <w:rPr>
          <w:rFonts w:ascii="Arial" w:eastAsia="Times New Roman" w:hAnsi="Arial" w:cs="Arial"/>
          <w:b/>
          <w:color w:val="000000"/>
        </w:rPr>
        <w:t>A</w:t>
      </w:r>
      <w:r w:rsidR="00B17261" w:rsidRPr="00E20AE3">
        <w:rPr>
          <w:rFonts w:ascii="Arial" w:eastAsia="Times New Roman" w:hAnsi="Arial" w:cs="Arial"/>
          <w:b/>
          <w:color w:val="000000"/>
        </w:rPr>
        <w:t>rcelorMittal</w:t>
      </w:r>
      <w:proofErr w:type="spellEnd"/>
      <w:r w:rsidR="00E20AE3" w:rsidRPr="00E20AE3">
        <w:rPr>
          <w:rFonts w:ascii="Arial" w:eastAsia="Times New Roman" w:hAnsi="Arial" w:cs="Arial"/>
          <w:b/>
          <w:color w:val="000000"/>
        </w:rPr>
        <w:t>, Tesco</w:t>
      </w:r>
      <w:r w:rsidR="00AE6817">
        <w:rPr>
          <w:rFonts w:ascii="Arial" w:eastAsia="Times New Roman" w:hAnsi="Arial" w:cs="Arial"/>
          <w:b/>
          <w:color w:val="000000"/>
        </w:rPr>
        <w:t xml:space="preserve">, </w:t>
      </w:r>
      <w:r w:rsidR="00E20AE3" w:rsidRPr="00E20AE3">
        <w:rPr>
          <w:rFonts w:ascii="Arial" w:eastAsia="Times New Roman" w:hAnsi="Arial" w:cs="Arial"/>
          <w:b/>
          <w:color w:val="000000"/>
        </w:rPr>
        <w:t>Allianz</w:t>
      </w:r>
      <w:r w:rsidR="00AE6817">
        <w:rPr>
          <w:rFonts w:ascii="Arial" w:eastAsia="Times New Roman" w:hAnsi="Arial" w:cs="Arial"/>
          <w:b/>
          <w:color w:val="000000"/>
        </w:rPr>
        <w:t xml:space="preserve">, </w:t>
      </w:r>
      <w:proofErr w:type="spellStart"/>
      <w:r w:rsidR="00AE6817">
        <w:rPr>
          <w:rFonts w:ascii="Arial" w:eastAsia="Times New Roman" w:hAnsi="Arial" w:cs="Arial"/>
          <w:b/>
          <w:color w:val="000000"/>
        </w:rPr>
        <w:t>Novartis</w:t>
      </w:r>
      <w:proofErr w:type="spellEnd"/>
      <w:r w:rsidR="00AE6817">
        <w:rPr>
          <w:rFonts w:ascii="Arial" w:eastAsia="Times New Roman" w:hAnsi="Arial" w:cs="Arial"/>
          <w:b/>
          <w:color w:val="000000"/>
        </w:rPr>
        <w:t xml:space="preserve"> nebo Vodafone</w:t>
      </w:r>
      <w:r w:rsidR="00E20AE3" w:rsidRPr="00E20AE3">
        <w:rPr>
          <w:rFonts w:ascii="Arial" w:eastAsia="Times New Roman" w:hAnsi="Arial" w:cs="Arial"/>
          <w:b/>
          <w:color w:val="000000"/>
        </w:rPr>
        <w:t xml:space="preserve">. </w:t>
      </w:r>
      <w:r>
        <w:rPr>
          <w:rFonts w:ascii="Arial" w:eastAsia="Times New Roman" w:hAnsi="Arial" w:cs="Arial"/>
          <w:color w:val="000000"/>
        </w:rPr>
        <w:t xml:space="preserve">Nejhůře v hodnocení skončil například </w:t>
      </w:r>
      <w:r w:rsidR="00AE6817">
        <w:rPr>
          <w:rFonts w:ascii="Arial" w:eastAsia="Times New Roman" w:hAnsi="Arial" w:cs="Arial"/>
          <w:b/>
          <w:color w:val="000000"/>
        </w:rPr>
        <w:t xml:space="preserve">Apple, Microsoft, </w:t>
      </w:r>
      <w:r w:rsidR="00E20AE3" w:rsidRPr="00E20AE3">
        <w:rPr>
          <w:rFonts w:ascii="Arial" w:eastAsia="Times New Roman" w:hAnsi="Arial" w:cs="Arial"/>
          <w:b/>
          <w:color w:val="000000"/>
        </w:rPr>
        <w:t xml:space="preserve">Google, Toyota, </w:t>
      </w:r>
      <w:r w:rsidR="00AE6817">
        <w:rPr>
          <w:rFonts w:ascii="Arial" w:eastAsia="Times New Roman" w:hAnsi="Arial" w:cs="Arial"/>
          <w:b/>
          <w:color w:val="000000"/>
        </w:rPr>
        <w:t xml:space="preserve">Anheuser-Busch, </w:t>
      </w:r>
      <w:proofErr w:type="spellStart"/>
      <w:r w:rsidR="00B17261" w:rsidRPr="00E20AE3">
        <w:rPr>
          <w:rFonts w:ascii="Arial" w:eastAsia="Times New Roman" w:hAnsi="Arial" w:cs="Arial"/>
          <w:b/>
          <w:color w:val="000000"/>
        </w:rPr>
        <w:t>Gazprom</w:t>
      </w:r>
      <w:proofErr w:type="spellEnd"/>
      <w:r w:rsidR="00B17261" w:rsidRPr="00E20AE3">
        <w:rPr>
          <w:rFonts w:ascii="Arial" w:eastAsia="Times New Roman" w:hAnsi="Arial" w:cs="Arial"/>
          <w:b/>
          <w:color w:val="000000"/>
        </w:rPr>
        <w:t xml:space="preserve">, Honda nebo Bank </w:t>
      </w:r>
      <w:proofErr w:type="spellStart"/>
      <w:r w:rsidR="00B17261" w:rsidRPr="00E20AE3">
        <w:rPr>
          <w:rFonts w:ascii="Arial" w:eastAsia="Times New Roman" w:hAnsi="Arial" w:cs="Arial"/>
          <w:b/>
          <w:color w:val="000000"/>
        </w:rPr>
        <w:t>of</w:t>
      </w:r>
      <w:proofErr w:type="spellEnd"/>
      <w:r w:rsidR="00B17261" w:rsidRPr="00E20AE3">
        <w:rPr>
          <w:rFonts w:ascii="Arial" w:eastAsia="Times New Roman" w:hAnsi="Arial" w:cs="Arial"/>
          <w:b/>
          <w:color w:val="000000"/>
        </w:rPr>
        <w:t xml:space="preserve"> </w:t>
      </w:r>
      <w:proofErr w:type="spellStart"/>
      <w:r w:rsidR="00B17261" w:rsidRPr="00E20AE3">
        <w:rPr>
          <w:rFonts w:ascii="Arial" w:eastAsia="Times New Roman" w:hAnsi="Arial" w:cs="Arial"/>
          <w:b/>
          <w:color w:val="000000"/>
        </w:rPr>
        <w:t>China</w:t>
      </w:r>
      <w:proofErr w:type="spellEnd"/>
      <w:r w:rsidR="00114082">
        <w:rPr>
          <w:rFonts w:ascii="Arial" w:eastAsia="Times New Roman" w:hAnsi="Arial" w:cs="Arial"/>
          <w:b/>
          <w:color w:val="000000"/>
        </w:rPr>
        <w:t xml:space="preserve"> (</w:t>
      </w:r>
      <w:r w:rsidR="00114082" w:rsidRPr="00114082">
        <w:rPr>
          <w:rFonts w:ascii="Arial" w:eastAsia="Times New Roman" w:hAnsi="Arial" w:cs="Arial"/>
          <w:color w:val="000000"/>
        </w:rPr>
        <w:t>c</w:t>
      </w:r>
      <w:r w:rsidR="00B17261" w:rsidRPr="00114082">
        <w:rPr>
          <w:rFonts w:ascii="Arial" w:eastAsia="Times New Roman" w:hAnsi="Arial" w:cs="Arial"/>
          <w:color w:val="000000"/>
        </w:rPr>
        <w:t>elý žebříček 105 firem je k dispozici v</w:t>
      </w:r>
      <w:r w:rsidR="00114082" w:rsidRPr="00114082">
        <w:rPr>
          <w:rFonts w:ascii="Arial" w:eastAsia="Times New Roman" w:hAnsi="Arial" w:cs="Arial"/>
          <w:color w:val="000000"/>
        </w:rPr>
        <w:t> </w:t>
      </w:r>
      <w:r w:rsidR="00B17261" w:rsidRPr="00114082">
        <w:rPr>
          <w:rFonts w:ascii="Arial" w:eastAsia="Times New Roman" w:hAnsi="Arial" w:cs="Arial"/>
          <w:color w:val="000000"/>
        </w:rPr>
        <w:t>příloze</w:t>
      </w:r>
      <w:r w:rsidR="00114082" w:rsidRPr="00114082">
        <w:rPr>
          <w:rFonts w:ascii="Arial" w:eastAsia="Times New Roman" w:hAnsi="Arial" w:cs="Arial"/>
          <w:color w:val="000000"/>
        </w:rPr>
        <w:t>)</w:t>
      </w:r>
      <w:r w:rsidR="00B17261" w:rsidRPr="00114082">
        <w:rPr>
          <w:rFonts w:ascii="Arial" w:eastAsia="Times New Roman" w:hAnsi="Arial" w:cs="Arial"/>
          <w:color w:val="000000"/>
        </w:rPr>
        <w:t xml:space="preserve">.  </w:t>
      </w:r>
    </w:p>
    <w:p w:rsidR="00F82C94" w:rsidRDefault="00F82C94" w:rsidP="00114082">
      <w:pPr>
        <w:autoSpaceDE w:val="0"/>
        <w:autoSpaceDN w:val="0"/>
        <w:adjustRightInd w:val="0"/>
        <w:spacing w:after="0" w:line="240" w:lineRule="auto"/>
        <w:ind w:left="-142" w:right="-1"/>
        <w:jc w:val="both"/>
        <w:rPr>
          <w:rFonts w:ascii="Arial" w:eastAsia="Times New Roman" w:hAnsi="Arial" w:cs="Arial"/>
          <w:color w:val="000000"/>
        </w:rPr>
      </w:pPr>
    </w:p>
    <w:p w:rsidR="00F82C94" w:rsidRDefault="00F82C94" w:rsidP="00114082">
      <w:pPr>
        <w:autoSpaceDE w:val="0"/>
        <w:autoSpaceDN w:val="0"/>
        <w:adjustRightInd w:val="0"/>
        <w:spacing w:after="0" w:line="240" w:lineRule="auto"/>
        <w:ind w:left="-142" w:right="-1"/>
        <w:jc w:val="both"/>
        <w:rPr>
          <w:rFonts w:ascii="Arial" w:eastAsia="Times New Roman" w:hAnsi="Arial" w:cs="Arial"/>
          <w:color w:val="000000"/>
        </w:rPr>
      </w:pPr>
      <w:r>
        <w:rPr>
          <w:rFonts w:ascii="Arial" w:eastAsia="Times New Roman" w:hAnsi="Arial" w:cs="Arial"/>
          <w:color w:val="000000"/>
        </w:rPr>
        <w:t xml:space="preserve">Studie sledovala též plnění </w:t>
      </w:r>
      <w:r>
        <w:rPr>
          <w:rFonts w:ascii="Arial" w:eastAsia="Times New Roman" w:hAnsi="Arial" w:cs="Arial"/>
          <w:color w:val="000000"/>
        </w:rPr>
        <w:t>informační</w:t>
      </w:r>
      <w:r>
        <w:rPr>
          <w:rFonts w:ascii="Arial" w:eastAsia="Times New Roman" w:hAnsi="Arial" w:cs="Arial"/>
          <w:color w:val="000000"/>
        </w:rPr>
        <w:t xml:space="preserve">ch </w:t>
      </w:r>
      <w:r>
        <w:rPr>
          <w:rFonts w:ascii="Arial" w:eastAsia="Times New Roman" w:hAnsi="Arial" w:cs="Arial"/>
          <w:color w:val="000000"/>
        </w:rPr>
        <w:t xml:space="preserve">povinností ve finančním sektoru, mezi bankami a pojišťovnami. Přestože neprůhlednost tohoto oboru hrála klíčovou roli při vzniku světové ekonomické krize, řada finančních domů své povinnosti stále neplní a zůstává velmi neprůhledná. </w:t>
      </w:r>
    </w:p>
    <w:p w:rsidR="00F82C94" w:rsidRDefault="00F82C94" w:rsidP="00114082">
      <w:pPr>
        <w:autoSpaceDE w:val="0"/>
        <w:autoSpaceDN w:val="0"/>
        <w:adjustRightInd w:val="0"/>
        <w:spacing w:after="0" w:line="240" w:lineRule="auto"/>
        <w:ind w:left="-142" w:right="-1"/>
        <w:jc w:val="both"/>
        <w:rPr>
          <w:rFonts w:ascii="Arial" w:eastAsia="Times New Roman" w:hAnsi="Arial" w:cs="Arial"/>
          <w:color w:val="000000"/>
        </w:rPr>
      </w:pPr>
    </w:p>
    <w:p w:rsidR="00F82C94" w:rsidRDefault="00F82C94" w:rsidP="00114082">
      <w:pPr>
        <w:autoSpaceDE w:val="0"/>
        <w:autoSpaceDN w:val="0"/>
        <w:adjustRightInd w:val="0"/>
        <w:spacing w:after="0" w:line="240" w:lineRule="auto"/>
        <w:ind w:left="-142" w:right="-1"/>
        <w:jc w:val="both"/>
        <w:rPr>
          <w:rFonts w:ascii="Arial" w:eastAsia="Times New Roman" w:hAnsi="Arial" w:cs="Arial"/>
          <w:color w:val="000000"/>
        </w:rPr>
      </w:pPr>
      <w:r w:rsidRPr="00F82C94">
        <w:rPr>
          <w:rFonts w:ascii="Arial" w:eastAsia="Times New Roman" w:hAnsi="Arial" w:cs="Arial"/>
          <w:b/>
          <w:color w:val="000000"/>
        </w:rPr>
        <w:t>„</w:t>
      </w:r>
      <w:r w:rsidRPr="00F82C94">
        <w:rPr>
          <w:rFonts w:ascii="Arial" w:eastAsia="Times New Roman" w:hAnsi="Arial" w:cs="Arial"/>
          <w:b/>
          <w:color w:val="000000"/>
        </w:rPr>
        <w:t xml:space="preserve">Nabízí se srovnání s Českou republikou, kde se o problematice </w:t>
      </w:r>
      <w:r w:rsidRPr="00F82C94">
        <w:rPr>
          <w:rFonts w:ascii="Arial" w:eastAsia="Times New Roman" w:hAnsi="Arial" w:cs="Arial"/>
          <w:b/>
          <w:color w:val="000000"/>
        </w:rPr>
        <w:t>transparentnosti</w:t>
      </w:r>
      <w:r w:rsidRPr="00F82C94">
        <w:rPr>
          <w:rFonts w:ascii="Arial" w:eastAsia="Times New Roman" w:hAnsi="Arial" w:cs="Arial"/>
          <w:b/>
          <w:color w:val="000000"/>
        </w:rPr>
        <w:t xml:space="preserve"> korporací, plnění jejich oznamovacích povinností a zavádění protikorupčních programů v podstatě nehovoří</w:t>
      </w:r>
      <w:r w:rsidRPr="00F82C94">
        <w:rPr>
          <w:rFonts w:ascii="Arial" w:eastAsia="Times New Roman" w:hAnsi="Arial" w:cs="Arial"/>
          <w:b/>
          <w:color w:val="000000"/>
        </w:rPr>
        <w:t>“,</w:t>
      </w:r>
      <w:r w:rsidRPr="00F82C94">
        <w:rPr>
          <w:rFonts w:ascii="Arial" w:eastAsia="Times New Roman" w:hAnsi="Arial" w:cs="Arial"/>
          <w:b/>
          <w:color w:val="000000"/>
        </w:rPr>
        <w:t xml:space="preserve"> říká Jan Spáčil, předseda </w:t>
      </w:r>
      <w:r w:rsidR="00114082">
        <w:rPr>
          <w:rFonts w:ascii="Arial" w:eastAsia="Times New Roman" w:hAnsi="Arial" w:cs="Arial"/>
          <w:b/>
          <w:color w:val="000000"/>
        </w:rPr>
        <w:t>s</w:t>
      </w:r>
      <w:r w:rsidRPr="00F82C94">
        <w:rPr>
          <w:rFonts w:ascii="Arial" w:eastAsia="Times New Roman" w:hAnsi="Arial" w:cs="Arial"/>
          <w:b/>
          <w:color w:val="000000"/>
        </w:rPr>
        <w:t>právní rady TI.</w:t>
      </w:r>
      <w:r>
        <w:rPr>
          <w:rFonts w:ascii="Arial" w:eastAsia="Times New Roman" w:hAnsi="Arial" w:cs="Arial"/>
          <w:color w:val="000000"/>
        </w:rPr>
        <w:t xml:space="preserve"> A to přesto, že nejen nadnárodní, ale i místní společnosti představují nedílnou součást problematiky korupce a finančních podvodů. Jak ukázal aktuální průzkum stavu </w:t>
      </w:r>
      <w:r w:rsidR="00114082">
        <w:rPr>
          <w:rFonts w:ascii="Arial" w:eastAsia="Times New Roman" w:hAnsi="Arial" w:cs="Arial"/>
          <w:color w:val="000000"/>
        </w:rPr>
        <w:t>„</w:t>
      </w:r>
      <w:proofErr w:type="spellStart"/>
      <w:r>
        <w:rPr>
          <w:rFonts w:ascii="Arial" w:eastAsia="Times New Roman" w:hAnsi="Arial" w:cs="Arial"/>
          <w:color w:val="000000"/>
        </w:rPr>
        <w:t>corporate</w:t>
      </w:r>
      <w:proofErr w:type="spellEnd"/>
      <w:r>
        <w:rPr>
          <w:rFonts w:ascii="Arial" w:eastAsia="Times New Roman" w:hAnsi="Arial" w:cs="Arial"/>
          <w:color w:val="000000"/>
        </w:rPr>
        <w:t xml:space="preserve"> </w:t>
      </w:r>
      <w:proofErr w:type="spellStart"/>
      <w:r>
        <w:rPr>
          <w:rFonts w:ascii="Arial" w:eastAsia="Times New Roman" w:hAnsi="Arial" w:cs="Arial"/>
          <w:color w:val="000000"/>
        </w:rPr>
        <w:t>governance</w:t>
      </w:r>
      <w:proofErr w:type="spellEnd"/>
      <w:r w:rsidR="00114082">
        <w:rPr>
          <w:rFonts w:ascii="Arial" w:eastAsia="Times New Roman" w:hAnsi="Arial" w:cs="Arial"/>
          <w:color w:val="000000"/>
        </w:rPr>
        <w:t>“</w:t>
      </w:r>
      <w:r>
        <w:rPr>
          <w:rFonts w:ascii="Arial" w:eastAsia="Times New Roman" w:hAnsi="Arial" w:cs="Arial"/>
          <w:color w:val="000000"/>
        </w:rPr>
        <w:t xml:space="preserve"> v České republice, situace není růžová a hrozí negativní vliv na fungování české ekonomiky.</w:t>
      </w:r>
    </w:p>
    <w:p w:rsidR="00FE1403" w:rsidRDefault="00FE1403" w:rsidP="00114082">
      <w:pPr>
        <w:autoSpaceDE w:val="0"/>
        <w:autoSpaceDN w:val="0"/>
        <w:adjustRightInd w:val="0"/>
        <w:spacing w:after="0" w:line="240" w:lineRule="auto"/>
        <w:ind w:left="-142" w:right="-1"/>
        <w:jc w:val="both"/>
        <w:rPr>
          <w:rFonts w:ascii="Arial" w:eastAsia="Times New Roman" w:hAnsi="Arial" w:cs="Arial"/>
          <w:color w:val="000000"/>
        </w:rPr>
      </w:pPr>
      <w:bookmarkStart w:id="0" w:name="_GoBack"/>
      <w:bookmarkEnd w:id="0"/>
    </w:p>
    <w:p w:rsidR="00AE6817" w:rsidRDefault="00E20AE3" w:rsidP="00114082">
      <w:pPr>
        <w:autoSpaceDE w:val="0"/>
        <w:autoSpaceDN w:val="0"/>
        <w:adjustRightInd w:val="0"/>
        <w:spacing w:after="0" w:line="240" w:lineRule="auto"/>
        <w:ind w:left="-142" w:right="-1"/>
        <w:jc w:val="both"/>
        <w:rPr>
          <w:rFonts w:ascii="Arial" w:eastAsia="Times New Roman" w:hAnsi="Arial" w:cs="Arial"/>
          <w:color w:val="000000"/>
        </w:rPr>
      </w:pPr>
      <w:r>
        <w:rPr>
          <w:rFonts w:ascii="Arial" w:eastAsia="Times New Roman" w:hAnsi="Arial" w:cs="Arial"/>
          <w:color w:val="000000"/>
        </w:rPr>
        <w:t>Celkově nadnárodní k</w:t>
      </w:r>
      <w:r w:rsidR="0038007B" w:rsidRPr="00B17261">
        <w:rPr>
          <w:rFonts w:ascii="Arial" w:eastAsia="Times New Roman" w:hAnsi="Arial" w:cs="Arial"/>
          <w:color w:val="000000"/>
        </w:rPr>
        <w:t xml:space="preserve">orporace </w:t>
      </w:r>
      <w:r>
        <w:rPr>
          <w:rFonts w:ascii="Arial" w:eastAsia="Times New Roman" w:hAnsi="Arial" w:cs="Arial"/>
          <w:color w:val="000000"/>
        </w:rPr>
        <w:t xml:space="preserve">sice </w:t>
      </w:r>
      <w:r w:rsidR="00AE6817">
        <w:rPr>
          <w:rFonts w:ascii="Arial" w:eastAsia="Times New Roman" w:hAnsi="Arial" w:cs="Arial"/>
          <w:color w:val="000000"/>
        </w:rPr>
        <w:t>podáva</w:t>
      </w:r>
      <w:r w:rsidR="0038007B" w:rsidRPr="00B17261">
        <w:rPr>
          <w:rFonts w:ascii="Arial" w:eastAsia="Times New Roman" w:hAnsi="Arial" w:cs="Arial"/>
          <w:color w:val="000000"/>
        </w:rPr>
        <w:t>jí více informací</w:t>
      </w:r>
      <w:r w:rsidR="00071C3A" w:rsidRPr="00B17261">
        <w:rPr>
          <w:rFonts w:ascii="Arial" w:eastAsia="Times New Roman" w:hAnsi="Arial" w:cs="Arial"/>
          <w:color w:val="000000"/>
        </w:rPr>
        <w:t xml:space="preserve"> než dříve, přesto </w:t>
      </w:r>
      <w:r w:rsidR="00B17261" w:rsidRPr="00B17261">
        <w:rPr>
          <w:rFonts w:ascii="Arial" w:eastAsia="Times New Roman" w:hAnsi="Arial" w:cs="Arial"/>
          <w:color w:val="000000"/>
        </w:rPr>
        <w:t>j</w:t>
      </w:r>
      <w:r w:rsidR="00114082">
        <w:rPr>
          <w:rFonts w:ascii="Arial" w:eastAsia="Times New Roman" w:hAnsi="Arial" w:cs="Arial"/>
          <w:color w:val="000000"/>
        </w:rPr>
        <w:t>e</w:t>
      </w:r>
      <w:r w:rsidR="00B17261" w:rsidRPr="00B17261">
        <w:rPr>
          <w:rFonts w:ascii="Arial" w:eastAsia="Times New Roman" w:hAnsi="Arial" w:cs="Arial"/>
          <w:color w:val="000000"/>
        </w:rPr>
        <w:t xml:space="preserve"> zřejm</w:t>
      </w:r>
      <w:r w:rsidR="00114082">
        <w:rPr>
          <w:rFonts w:ascii="Arial" w:eastAsia="Times New Roman" w:hAnsi="Arial" w:cs="Arial"/>
          <w:color w:val="000000"/>
        </w:rPr>
        <w:t>á</w:t>
      </w:r>
      <w:r w:rsidR="00B17261" w:rsidRPr="00B17261">
        <w:rPr>
          <w:rFonts w:ascii="Arial" w:eastAsia="Times New Roman" w:hAnsi="Arial" w:cs="Arial"/>
          <w:color w:val="000000"/>
        </w:rPr>
        <w:t xml:space="preserve"> řad</w:t>
      </w:r>
      <w:r w:rsidR="00114082">
        <w:rPr>
          <w:rFonts w:ascii="Arial" w:eastAsia="Times New Roman" w:hAnsi="Arial" w:cs="Arial"/>
          <w:color w:val="000000"/>
        </w:rPr>
        <w:t>a</w:t>
      </w:r>
      <w:r w:rsidR="00B17261" w:rsidRPr="00B17261">
        <w:rPr>
          <w:rFonts w:ascii="Arial" w:eastAsia="Times New Roman" w:hAnsi="Arial" w:cs="Arial"/>
          <w:color w:val="000000"/>
        </w:rPr>
        <w:t xml:space="preserve"> nedostatků. </w:t>
      </w:r>
      <w:r w:rsidR="00AE6817">
        <w:rPr>
          <w:rFonts w:ascii="Arial" w:eastAsia="Times New Roman" w:hAnsi="Arial" w:cs="Arial"/>
          <w:color w:val="000000"/>
        </w:rPr>
        <w:t xml:space="preserve">Veřejnost, spotřebitelé a zákazníci mohou nyní posoudit míru otevřenosti firem, od kterých nakupují. </w:t>
      </w:r>
      <w:proofErr w:type="gramStart"/>
      <w:r w:rsidR="00AE6817">
        <w:rPr>
          <w:rFonts w:ascii="Arial" w:eastAsia="Times New Roman" w:hAnsi="Arial" w:cs="Arial"/>
          <w:color w:val="000000"/>
        </w:rPr>
        <w:t>TI</w:t>
      </w:r>
      <w:r w:rsidR="00B17261" w:rsidRPr="00B17261">
        <w:rPr>
          <w:rFonts w:ascii="Arial" w:eastAsia="Times New Roman" w:hAnsi="Arial" w:cs="Arial"/>
          <w:color w:val="000000"/>
        </w:rPr>
        <w:t xml:space="preserve"> vyzývá</w:t>
      </w:r>
      <w:proofErr w:type="gramEnd"/>
      <w:r w:rsidR="00583A6F">
        <w:rPr>
          <w:rFonts w:ascii="Arial" w:eastAsia="Times New Roman" w:hAnsi="Arial" w:cs="Arial"/>
          <w:color w:val="000000"/>
        </w:rPr>
        <w:t xml:space="preserve"> f</w:t>
      </w:r>
      <w:r w:rsidR="00AE6817">
        <w:rPr>
          <w:rFonts w:ascii="Arial" w:eastAsia="Times New Roman" w:hAnsi="Arial" w:cs="Arial"/>
          <w:color w:val="000000"/>
        </w:rPr>
        <w:t xml:space="preserve">irmy, aby </w:t>
      </w:r>
      <w:r w:rsidR="00583A6F">
        <w:rPr>
          <w:rFonts w:ascii="Arial" w:eastAsia="Times New Roman" w:hAnsi="Arial" w:cs="Arial"/>
          <w:color w:val="000000"/>
        </w:rPr>
        <w:t>věnoval</w:t>
      </w:r>
      <w:r w:rsidR="00AE6817">
        <w:rPr>
          <w:rFonts w:ascii="Arial" w:eastAsia="Times New Roman" w:hAnsi="Arial" w:cs="Arial"/>
          <w:color w:val="000000"/>
        </w:rPr>
        <w:t>y</w:t>
      </w:r>
      <w:r w:rsidR="00583A6F">
        <w:rPr>
          <w:rFonts w:ascii="Arial" w:eastAsia="Times New Roman" w:hAnsi="Arial" w:cs="Arial"/>
          <w:color w:val="000000"/>
        </w:rPr>
        <w:t xml:space="preserve"> této oblasti zvýšenou pozornost</w:t>
      </w:r>
      <w:r w:rsidR="00B17261" w:rsidRPr="00B17261">
        <w:rPr>
          <w:rFonts w:ascii="Arial" w:eastAsia="Times New Roman" w:hAnsi="Arial" w:cs="Arial"/>
          <w:color w:val="000000"/>
        </w:rPr>
        <w:t xml:space="preserve">. </w:t>
      </w:r>
      <w:proofErr w:type="gramStart"/>
      <w:r>
        <w:rPr>
          <w:rFonts w:ascii="Arial" w:eastAsia="Times New Roman" w:hAnsi="Arial" w:cs="Arial"/>
          <w:color w:val="000000"/>
        </w:rPr>
        <w:t>TI</w:t>
      </w:r>
      <w:proofErr w:type="gramEnd"/>
      <w:r>
        <w:rPr>
          <w:rFonts w:ascii="Arial" w:eastAsia="Times New Roman" w:hAnsi="Arial" w:cs="Arial"/>
          <w:color w:val="000000"/>
        </w:rPr>
        <w:t xml:space="preserve"> rovněž </w:t>
      </w:r>
      <w:proofErr w:type="gramStart"/>
      <w:r>
        <w:rPr>
          <w:rFonts w:ascii="Arial" w:eastAsia="Times New Roman" w:hAnsi="Arial" w:cs="Arial"/>
          <w:color w:val="000000"/>
        </w:rPr>
        <w:t>vyzývá</w:t>
      </w:r>
      <w:proofErr w:type="gramEnd"/>
      <w:r>
        <w:rPr>
          <w:rFonts w:ascii="Arial" w:eastAsia="Times New Roman" w:hAnsi="Arial" w:cs="Arial"/>
          <w:color w:val="000000"/>
        </w:rPr>
        <w:t xml:space="preserve"> v</w:t>
      </w:r>
      <w:r w:rsidR="00B17261" w:rsidRPr="00B17261">
        <w:rPr>
          <w:rFonts w:ascii="Arial" w:eastAsia="Times New Roman" w:hAnsi="Arial" w:cs="Arial"/>
          <w:color w:val="000000"/>
        </w:rPr>
        <w:t>lády, reguláto</w:t>
      </w:r>
      <w:r>
        <w:rPr>
          <w:rFonts w:ascii="Arial" w:eastAsia="Times New Roman" w:hAnsi="Arial" w:cs="Arial"/>
          <w:color w:val="000000"/>
        </w:rPr>
        <w:t>ry</w:t>
      </w:r>
      <w:r w:rsidR="00B17261" w:rsidRPr="00B17261">
        <w:rPr>
          <w:rFonts w:ascii="Arial" w:eastAsia="Times New Roman" w:hAnsi="Arial" w:cs="Arial"/>
          <w:color w:val="000000"/>
        </w:rPr>
        <w:t xml:space="preserve"> </w:t>
      </w:r>
      <w:r>
        <w:rPr>
          <w:rFonts w:ascii="Arial" w:eastAsia="Times New Roman" w:hAnsi="Arial" w:cs="Arial"/>
          <w:color w:val="000000"/>
        </w:rPr>
        <w:t>a</w:t>
      </w:r>
      <w:r w:rsidR="00B17261" w:rsidRPr="00B17261">
        <w:rPr>
          <w:rFonts w:ascii="Arial" w:eastAsia="Times New Roman" w:hAnsi="Arial" w:cs="Arial"/>
          <w:color w:val="000000"/>
        </w:rPr>
        <w:t xml:space="preserve"> investo</w:t>
      </w:r>
      <w:r>
        <w:rPr>
          <w:rFonts w:ascii="Arial" w:eastAsia="Times New Roman" w:hAnsi="Arial" w:cs="Arial"/>
          <w:color w:val="000000"/>
        </w:rPr>
        <w:t xml:space="preserve">ry, aby </w:t>
      </w:r>
      <w:r w:rsidR="00AE6817">
        <w:rPr>
          <w:rFonts w:ascii="Arial" w:eastAsia="Times New Roman" w:hAnsi="Arial" w:cs="Arial"/>
          <w:color w:val="000000"/>
        </w:rPr>
        <w:t xml:space="preserve">došlo ke </w:t>
      </w:r>
      <w:r w:rsidR="00B17261" w:rsidRPr="00B17261">
        <w:rPr>
          <w:rFonts w:ascii="Arial" w:eastAsia="Times New Roman" w:hAnsi="Arial" w:cs="Arial"/>
          <w:color w:val="000000"/>
        </w:rPr>
        <w:t>zpřísn</w:t>
      </w:r>
      <w:r w:rsidR="00AE6817">
        <w:rPr>
          <w:rFonts w:ascii="Arial" w:eastAsia="Times New Roman" w:hAnsi="Arial" w:cs="Arial"/>
          <w:color w:val="000000"/>
        </w:rPr>
        <w:t xml:space="preserve">ění </w:t>
      </w:r>
      <w:r w:rsidR="00B17261" w:rsidRPr="00B17261">
        <w:rPr>
          <w:rFonts w:ascii="Arial" w:eastAsia="Times New Roman" w:hAnsi="Arial" w:cs="Arial"/>
          <w:color w:val="000000"/>
        </w:rPr>
        <w:t>dohled</w:t>
      </w:r>
      <w:r w:rsidR="00AE6817">
        <w:rPr>
          <w:rFonts w:ascii="Arial" w:eastAsia="Times New Roman" w:hAnsi="Arial" w:cs="Arial"/>
          <w:color w:val="000000"/>
        </w:rPr>
        <w:t>u</w:t>
      </w:r>
      <w:r w:rsidR="00B17261" w:rsidRPr="00B17261">
        <w:rPr>
          <w:rFonts w:ascii="Arial" w:eastAsia="Times New Roman" w:hAnsi="Arial" w:cs="Arial"/>
          <w:color w:val="000000"/>
        </w:rPr>
        <w:t xml:space="preserve"> nad korporátním reportingem a </w:t>
      </w:r>
      <w:r w:rsidR="00F82C94">
        <w:rPr>
          <w:rFonts w:ascii="Arial" w:eastAsia="Times New Roman" w:hAnsi="Arial" w:cs="Arial"/>
          <w:color w:val="000000"/>
        </w:rPr>
        <w:t>d</w:t>
      </w:r>
      <w:r w:rsidR="00AE6817">
        <w:rPr>
          <w:rFonts w:ascii="Arial" w:eastAsia="Times New Roman" w:hAnsi="Arial" w:cs="Arial"/>
          <w:color w:val="000000"/>
        </w:rPr>
        <w:t>ůsledn</w:t>
      </w:r>
      <w:r w:rsidR="00F82C94">
        <w:rPr>
          <w:rFonts w:ascii="Arial" w:eastAsia="Times New Roman" w:hAnsi="Arial" w:cs="Arial"/>
          <w:color w:val="000000"/>
        </w:rPr>
        <w:t xml:space="preserve">ému </w:t>
      </w:r>
      <w:r w:rsidR="00AE6817">
        <w:rPr>
          <w:rFonts w:ascii="Arial" w:eastAsia="Times New Roman" w:hAnsi="Arial" w:cs="Arial"/>
          <w:color w:val="000000"/>
        </w:rPr>
        <w:t>vymáh</w:t>
      </w:r>
      <w:r w:rsidR="00F82C94">
        <w:rPr>
          <w:rFonts w:ascii="Arial" w:eastAsia="Times New Roman" w:hAnsi="Arial" w:cs="Arial"/>
          <w:color w:val="000000"/>
        </w:rPr>
        <w:t>ání</w:t>
      </w:r>
      <w:r w:rsidR="00AE6817">
        <w:rPr>
          <w:rFonts w:ascii="Arial" w:eastAsia="Times New Roman" w:hAnsi="Arial" w:cs="Arial"/>
          <w:color w:val="000000"/>
        </w:rPr>
        <w:t xml:space="preserve"> plnění zákonem stanovených povinností.</w:t>
      </w:r>
    </w:p>
    <w:p w:rsidR="00AE6817" w:rsidRDefault="00AE6817" w:rsidP="00114082">
      <w:pPr>
        <w:autoSpaceDE w:val="0"/>
        <w:autoSpaceDN w:val="0"/>
        <w:adjustRightInd w:val="0"/>
        <w:spacing w:after="0" w:line="240" w:lineRule="auto"/>
        <w:ind w:left="-142" w:right="-1"/>
        <w:jc w:val="both"/>
        <w:rPr>
          <w:rFonts w:ascii="Arial" w:eastAsia="Times New Roman" w:hAnsi="Arial" w:cs="Arial"/>
          <w:color w:val="000000"/>
        </w:rPr>
      </w:pPr>
    </w:p>
    <w:p w:rsidR="002A4888" w:rsidRPr="00114082" w:rsidRDefault="00B17261" w:rsidP="00114082">
      <w:pPr>
        <w:ind w:left="-142" w:right="-1"/>
        <w:jc w:val="both"/>
        <w:rPr>
          <w:rFonts w:ascii="Arial" w:eastAsia="Times New Roman" w:hAnsi="Arial" w:cs="Arial"/>
          <w:color w:val="000000"/>
        </w:rPr>
      </w:pPr>
      <w:r w:rsidRPr="00114082">
        <w:rPr>
          <w:rFonts w:ascii="Arial" w:eastAsia="Times New Roman" w:hAnsi="Arial" w:cs="Arial"/>
          <w:b/>
          <w:color w:val="000000"/>
        </w:rPr>
        <w:t xml:space="preserve">Mnohé korporace jsou dnes mocnější než státy a ovlivňují životy všech lidí. Pokud chceme zdravější globální ekonomický rozvoj, </w:t>
      </w:r>
      <w:r w:rsidR="00FE1403" w:rsidRPr="00114082">
        <w:rPr>
          <w:rFonts w:ascii="Arial" w:eastAsia="Times New Roman" w:hAnsi="Arial" w:cs="Arial"/>
          <w:b/>
          <w:color w:val="000000"/>
        </w:rPr>
        <w:t>předcházení korporátní</w:t>
      </w:r>
      <w:r w:rsidR="00114082">
        <w:rPr>
          <w:rFonts w:ascii="Arial" w:eastAsia="Times New Roman" w:hAnsi="Arial" w:cs="Arial"/>
          <w:b/>
          <w:color w:val="000000"/>
        </w:rPr>
        <w:t>m</w:t>
      </w:r>
      <w:r w:rsidR="00FE1403" w:rsidRPr="00114082">
        <w:rPr>
          <w:rFonts w:ascii="Arial" w:eastAsia="Times New Roman" w:hAnsi="Arial" w:cs="Arial"/>
          <w:b/>
          <w:color w:val="000000"/>
        </w:rPr>
        <w:t xml:space="preserve"> skandálů</w:t>
      </w:r>
      <w:r w:rsidR="00114082">
        <w:rPr>
          <w:rFonts w:ascii="Arial" w:eastAsia="Times New Roman" w:hAnsi="Arial" w:cs="Arial"/>
          <w:b/>
          <w:color w:val="000000"/>
        </w:rPr>
        <w:t>m</w:t>
      </w:r>
      <w:r w:rsidR="00FE1403" w:rsidRPr="00114082">
        <w:rPr>
          <w:rFonts w:ascii="Arial" w:eastAsia="Times New Roman" w:hAnsi="Arial" w:cs="Arial"/>
          <w:b/>
          <w:color w:val="000000"/>
        </w:rPr>
        <w:t xml:space="preserve"> a </w:t>
      </w:r>
      <w:r w:rsidRPr="00114082">
        <w:rPr>
          <w:rFonts w:ascii="Arial" w:eastAsia="Times New Roman" w:hAnsi="Arial" w:cs="Arial"/>
          <w:b/>
          <w:color w:val="000000"/>
        </w:rPr>
        <w:t>omezení finanční kriminality</w:t>
      </w:r>
      <w:r w:rsidR="00DD299B" w:rsidRPr="00114082">
        <w:rPr>
          <w:rFonts w:ascii="Arial" w:eastAsia="Times New Roman" w:hAnsi="Arial" w:cs="Arial"/>
          <w:b/>
          <w:color w:val="000000"/>
        </w:rPr>
        <w:t xml:space="preserve"> a korupce</w:t>
      </w:r>
      <w:r w:rsidRPr="00114082">
        <w:rPr>
          <w:rFonts w:ascii="Arial" w:eastAsia="Times New Roman" w:hAnsi="Arial" w:cs="Arial"/>
          <w:b/>
          <w:color w:val="000000"/>
        </w:rPr>
        <w:t xml:space="preserve">, musíme být schopni </w:t>
      </w:r>
      <w:r w:rsidR="00F82C94" w:rsidRPr="00114082">
        <w:rPr>
          <w:rFonts w:ascii="Arial" w:eastAsia="Times New Roman" w:hAnsi="Arial" w:cs="Arial"/>
          <w:b/>
          <w:color w:val="000000"/>
        </w:rPr>
        <w:t xml:space="preserve">přimět </w:t>
      </w:r>
      <w:r w:rsidRPr="00114082">
        <w:rPr>
          <w:rFonts w:ascii="Arial" w:eastAsia="Times New Roman" w:hAnsi="Arial" w:cs="Arial"/>
          <w:b/>
          <w:color w:val="000000"/>
        </w:rPr>
        <w:t>nadnárodní firmy k</w:t>
      </w:r>
      <w:r w:rsidR="00FE1403" w:rsidRPr="00114082">
        <w:rPr>
          <w:rFonts w:ascii="Arial" w:eastAsia="Times New Roman" w:hAnsi="Arial" w:cs="Arial"/>
          <w:b/>
          <w:color w:val="000000"/>
        </w:rPr>
        <w:t> </w:t>
      </w:r>
      <w:r w:rsidRPr="00114082">
        <w:rPr>
          <w:rFonts w:ascii="Arial" w:eastAsia="Times New Roman" w:hAnsi="Arial" w:cs="Arial"/>
          <w:b/>
          <w:color w:val="000000"/>
        </w:rPr>
        <w:t>otevřenosti</w:t>
      </w:r>
      <w:r w:rsidR="00FE1403" w:rsidRPr="00114082">
        <w:rPr>
          <w:rFonts w:ascii="Arial" w:eastAsia="Times New Roman" w:hAnsi="Arial" w:cs="Arial"/>
          <w:b/>
          <w:color w:val="000000"/>
        </w:rPr>
        <w:t xml:space="preserve"> a skládání účtů</w:t>
      </w:r>
      <w:r w:rsidR="00F82C94" w:rsidRPr="00114082">
        <w:rPr>
          <w:rFonts w:ascii="Arial" w:eastAsia="Times New Roman" w:hAnsi="Arial" w:cs="Arial"/>
          <w:b/>
          <w:color w:val="000000"/>
        </w:rPr>
        <w:t>,</w:t>
      </w:r>
      <w:r w:rsidR="002A4888" w:rsidRPr="00114082">
        <w:rPr>
          <w:rFonts w:ascii="Arial" w:eastAsia="Times New Roman" w:hAnsi="Arial" w:cs="Arial"/>
          <w:b/>
          <w:color w:val="000000"/>
        </w:rPr>
        <w:t>“</w:t>
      </w:r>
      <w:r w:rsidR="002A4888" w:rsidRPr="00114082">
        <w:rPr>
          <w:rFonts w:ascii="Arial" w:eastAsia="Times New Roman" w:hAnsi="Arial" w:cs="Arial"/>
          <w:color w:val="000000"/>
        </w:rPr>
        <w:t xml:space="preserve"> </w:t>
      </w:r>
      <w:r w:rsidR="0073200A" w:rsidRPr="00114082">
        <w:rPr>
          <w:rFonts w:ascii="Arial" w:eastAsia="Times New Roman" w:hAnsi="Arial" w:cs="Arial"/>
          <w:color w:val="000000"/>
        </w:rPr>
        <w:t xml:space="preserve">dodává </w:t>
      </w:r>
      <w:r w:rsidR="00DA78FC" w:rsidRPr="00114082">
        <w:rPr>
          <w:rFonts w:ascii="Arial" w:eastAsia="Times New Roman" w:hAnsi="Arial" w:cs="Arial"/>
          <w:color w:val="000000"/>
        </w:rPr>
        <w:t>David Ondráčka,</w:t>
      </w:r>
      <w:r w:rsidR="002A4888" w:rsidRPr="00114082">
        <w:rPr>
          <w:rFonts w:ascii="Arial" w:eastAsia="Times New Roman" w:hAnsi="Arial" w:cs="Arial"/>
          <w:color w:val="000000"/>
        </w:rPr>
        <w:t xml:space="preserve"> </w:t>
      </w:r>
      <w:r w:rsidR="00071C3A" w:rsidRPr="00114082">
        <w:rPr>
          <w:rFonts w:ascii="Arial" w:eastAsia="Times New Roman" w:hAnsi="Arial" w:cs="Arial"/>
          <w:color w:val="000000"/>
        </w:rPr>
        <w:t>ředitel TI</w:t>
      </w:r>
      <w:r w:rsidRPr="00114082">
        <w:rPr>
          <w:rFonts w:ascii="Arial" w:eastAsia="Times New Roman" w:hAnsi="Arial" w:cs="Arial"/>
          <w:color w:val="000000"/>
        </w:rPr>
        <w:t>.</w:t>
      </w:r>
    </w:p>
    <w:p w:rsidR="002A4888" w:rsidRPr="00E42C6C" w:rsidRDefault="00B17261" w:rsidP="00114082">
      <w:pPr>
        <w:ind w:left="-142" w:right="-1"/>
        <w:jc w:val="both"/>
        <w:outlineLvl w:val="0"/>
        <w:rPr>
          <w:rFonts w:ascii="Arial" w:eastAsia="Times New Roman" w:hAnsi="Arial" w:cs="Arial"/>
          <w:b/>
          <w:color w:val="000000"/>
        </w:rPr>
      </w:pPr>
      <w:r w:rsidRPr="00E42C6C">
        <w:rPr>
          <w:rFonts w:ascii="Arial" w:eastAsia="Times New Roman" w:hAnsi="Arial" w:cs="Arial"/>
          <w:b/>
          <w:color w:val="000000"/>
        </w:rPr>
        <w:t xml:space="preserve">Příloha: </w:t>
      </w:r>
      <w:r w:rsidR="00E20AE3">
        <w:rPr>
          <w:rFonts w:ascii="Arial" w:eastAsia="Times New Roman" w:hAnsi="Arial" w:cs="Arial"/>
          <w:b/>
          <w:color w:val="000000"/>
        </w:rPr>
        <w:t>„</w:t>
      </w:r>
      <w:r w:rsidRPr="00E42C6C">
        <w:rPr>
          <w:rFonts w:ascii="Arial" w:eastAsia="Times New Roman" w:hAnsi="Arial" w:cs="Arial"/>
          <w:b/>
          <w:color w:val="000000"/>
        </w:rPr>
        <w:t xml:space="preserve">Transparency in </w:t>
      </w:r>
      <w:proofErr w:type="spellStart"/>
      <w:r w:rsidRPr="00E42C6C">
        <w:rPr>
          <w:rFonts w:ascii="Arial" w:eastAsia="Times New Roman" w:hAnsi="Arial" w:cs="Arial"/>
          <w:b/>
          <w:color w:val="000000"/>
        </w:rPr>
        <w:t>Corporate</w:t>
      </w:r>
      <w:proofErr w:type="spellEnd"/>
      <w:r w:rsidRPr="00E42C6C">
        <w:rPr>
          <w:rFonts w:ascii="Arial" w:eastAsia="Times New Roman" w:hAnsi="Arial" w:cs="Arial"/>
          <w:b/>
          <w:color w:val="000000"/>
        </w:rPr>
        <w:t xml:space="preserve"> Reporting: </w:t>
      </w:r>
      <w:proofErr w:type="spellStart"/>
      <w:r w:rsidRPr="00E42C6C">
        <w:rPr>
          <w:rFonts w:ascii="Arial" w:eastAsia="Times New Roman" w:hAnsi="Arial" w:cs="Arial"/>
          <w:b/>
          <w:color w:val="000000"/>
        </w:rPr>
        <w:t>Assessing</w:t>
      </w:r>
      <w:proofErr w:type="spellEnd"/>
      <w:r w:rsidRPr="00E42C6C">
        <w:rPr>
          <w:rFonts w:ascii="Arial" w:eastAsia="Times New Roman" w:hAnsi="Arial" w:cs="Arial"/>
          <w:b/>
          <w:color w:val="000000"/>
        </w:rPr>
        <w:t xml:space="preserve"> </w:t>
      </w:r>
      <w:proofErr w:type="spellStart"/>
      <w:r w:rsidRPr="00E42C6C">
        <w:rPr>
          <w:rFonts w:ascii="Arial" w:eastAsia="Times New Roman" w:hAnsi="Arial" w:cs="Arial"/>
          <w:b/>
          <w:color w:val="000000"/>
        </w:rPr>
        <w:t>the</w:t>
      </w:r>
      <w:proofErr w:type="spellEnd"/>
      <w:r w:rsidRPr="00E42C6C">
        <w:rPr>
          <w:rFonts w:ascii="Arial" w:eastAsia="Times New Roman" w:hAnsi="Arial" w:cs="Arial"/>
          <w:b/>
          <w:color w:val="000000"/>
        </w:rPr>
        <w:t xml:space="preserve"> </w:t>
      </w:r>
      <w:proofErr w:type="spellStart"/>
      <w:r w:rsidRPr="00E42C6C">
        <w:rPr>
          <w:rFonts w:ascii="Arial" w:eastAsia="Times New Roman" w:hAnsi="Arial" w:cs="Arial"/>
          <w:b/>
          <w:color w:val="000000"/>
        </w:rPr>
        <w:t>World’s</w:t>
      </w:r>
      <w:proofErr w:type="spellEnd"/>
      <w:r w:rsidRPr="00E42C6C">
        <w:rPr>
          <w:rFonts w:ascii="Arial" w:eastAsia="Times New Roman" w:hAnsi="Arial" w:cs="Arial"/>
          <w:b/>
          <w:color w:val="000000"/>
        </w:rPr>
        <w:t xml:space="preserve"> </w:t>
      </w:r>
      <w:proofErr w:type="spellStart"/>
      <w:r w:rsidRPr="00E42C6C">
        <w:rPr>
          <w:rFonts w:ascii="Arial" w:eastAsia="Times New Roman" w:hAnsi="Arial" w:cs="Arial"/>
          <w:b/>
          <w:color w:val="000000"/>
        </w:rPr>
        <w:t>Largest</w:t>
      </w:r>
      <w:proofErr w:type="spellEnd"/>
      <w:r w:rsidRPr="00E42C6C">
        <w:rPr>
          <w:rFonts w:ascii="Arial" w:eastAsia="Times New Roman" w:hAnsi="Arial" w:cs="Arial"/>
          <w:b/>
          <w:color w:val="000000"/>
        </w:rPr>
        <w:t xml:space="preserve"> </w:t>
      </w:r>
      <w:proofErr w:type="spellStart"/>
      <w:r w:rsidRPr="00E42C6C">
        <w:rPr>
          <w:rFonts w:ascii="Arial" w:eastAsia="Times New Roman" w:hAnsi="Arial" w:cs="Arial"/>
          <w:b/>
          <w:color w:val="000000"/>
        </w:rPr>
        <w:t>Companies</w:t>
      </w:r>
      <w:proofErr w:type="spellEnd"/>
      <w:r w:rsidR="00E20AE3">
        <w:rPr>
          <w:rFonts w:ascii="Arial" w:eastAsia="Times New Roman" w:hAnsi="Arial" w:cs="Arial"/>
          <w:b/>
          <w:color w:val="000000"/>
        </w:rPr>
        <w:t>“</w:t>
      </w:r>
      <w:r w:rsidRPr="00E42C6C">
        <w:rPr>
          <w:rFonts w:ascii="Arial" w:eastAsia="Times New Roman" w:hAnsi="Arial" w:cs="Arial"/>
          <w:b/>
          <w:color w:val="000000"/>
        </w:rPr>
        <w:t xml:space="preserve"> </w:t>
      </w:r>
      <w:r w:rsidR="00114082">
        <w:rPr>
          <w:rFonts w:ascii="Arial" w:eastAsia="Times New Roman" w:hAnsi="Arial" w:cs="Arial"/>
          <w:b/>
          <w:color w:val="000000"/>
        </w:rPr>
        <w:t>a</w:t>
      </w:r>
      <w:r w:rsidRPr="00E42C6C">
        <w:rPr>
          <w:rFonts w:ascii="Arial" w:eastAsia="Times New Roman" w:hAnsi="Arial" w:cs="Arial"/>
          <w:b/>
          <w:color w:val="000000"/>
        </w:rPr>
        <w:t xml:space="preserve"> žebříč</w:t>
      </w:r>
      <w:r w:rsidR="00114082">
        <w:rPr>
          <w:rFonts w:ascii="Arial" w:eastAsia="Times New Roman" w:hAnsi="Arial" w:cs="Arial"/>
          <w:b/>
          <w:color w:val="000000"/>
        </w:rPr>
        <w:t>ek</w:t>
      </w:r>
      <w:r w:rsidRPr="00E42C6C">
        <w:rPr>
          <w:rFonts w:ascii="Arial" w:eastAsia="Times New Roman" w:hAnsi="Arial" w:cs="Arial"/>
          <w:b/>
          <w:color w:val="000000"/>
        </w:rPr>
        <w:t xml:space="preserve"> firem</w:t>
      </w:r>
    </w:p>
    <w:p w:rsidR="00AB117E" w:rsidRPr="00AB117E" w:rsidRDefault="002A4888" w:rsidP="00114082">
      <w:pPr>
        <w:ind w:left="-142" w:right="-1"/>
        <w:jc w:val="both"/>
        <w:rPr>
          <w:rFonts w:ascii="Arial" w:eastAsia="Times New Roman" w:hAnsi="Arial" w:cs="Arial"/>
          <w:color w:val="000000"/>
        </w:rPr>
      </w:pPr>
      <w:r w:rsidRPr="00114082">
        <w:rPr>
          <w:rFonts w:ascii="Arial" w:eastAsia="Times New Roman" w:hAnsi="Arial" w:cs="Arial"/>
          <w:color w:val="000000"/>
        </w:rPr>
        <w:t>Kontakt pro média:</w:t>
      </w:r>
      <w:r w:rsidR="00114082" w:rsidRPr="00114082">
        <w:rPr>
          <w:rFonts w:ascii="Arial" w:eastAsia="Times New Roman" w:hAnsi="Arial" w:cs="Arial"/>
          <w:color w:val="000000"/>
        </w:rPr>
        <w:t xml:space="preserve"> </w:t>
      </w:r>
      <w:r w:rsidR="00114082">
        <w:rPr>
          <w:rFonts w:ascii="Arial" w:eastAsia="Times New Roman" w:hAnsi="Arial" w:cs="Arial"/>
          <w:color w:val="000000"/>
        </w:rPr>
        <w:t>D</w:t>
      </w:r>
      <w:r w:rsidR="00DA78FC" w:rsidRPr="00B17261">
        <w:rPr>
          <w:rFonts w:ascii="Arial" w:eastAsia="Times New Roman" w:hAnsi="Arial" w:cs="Arial"/>
          <w:color w:val="000000"/>
        </w:rPr>
        <w:t>avid Ondráčka</w:t>
      </w:r>
      <w:r w:rsidR="00AB117E">
        <w:rPr>
          <w:rFonts w:ascii="Arial" w:eastAsia="Times New Roman" w:hAnsi="Arial" w:cs="Arial"/>
          <w:color w:val="000000"/>
        </w:rPr>
        <w:t xml:space="preserve"> (TI)</w:t>
      </w:r>
      <w:r w:rsidR="00E42C6C">
        <w:rPr>
          <w:rFonts w:ascii="Arial" w:eastAsia="Times New Roman" w:hAnsi="Arial" w:cs="Arial"/>
          <w:color w:val="000000"/>
        </w:rPr>
        <w:t xml:space="preserve">, tel: 605814786, </w:t>
      </w:r>
      <w:hyperlink r:id="rId9" w:history="1">
        <w:r w:rsidR="00E42C6C" w:rsidRPr="00DB543F">
          <w:rPr>
            <w:rStyle w:val="Hypertextovodkaz"/>
            <w:rFonts w:ascii="Arial" w:eastAsia="Times New Roman" w:hAnsi="Arial" w:cs="Arial"/>
          </w:rPr>
          <w:t>ondracka@transparency.cz</w:t>
        </w:r>
      </w:hyperlink>
      <w:r w:rsidR="00AB117E">
        <w:rPr>
          <w:rFonts w:cstheme="minorHAnsi"/>
          <w:i/>
          <w:iCs/>
          <w:noProof/>
          <w:color w:val="31849B"/>
          <w:sz w:val="20"/>
          <w:szCs w:val="20"/>
        </w:rPr>
        <w:t xml:space="preserve">. </w:t>
      </w:r>
    </w:p>
    <w:p w:rsidR="00AB117E" w:rsidRDefault="00AB117E" w:rsidP="00114082">
      <w:pPr>
        <w:ind w:left="-142" w:right="-1"/>
        <w:rPr>
          <w:rFonts w:cstheme="minorHAnsi"/>
          <w:i/>
          <w:iCs/>
          <w:noProof/>
          <w:color w:val="31849B"/>
          <w:sz w:val="18"/>
          <w:szCs w:val="18"/>
          <w:u w:val="single"/>
        </w:rPr>
      </w:pPr>
      <w:r>
        <w:rPr>
          <w:rFonts w:cstheme="minorHAnsi"/>
          <w:i/>
          <w:iCs/>
          <w:noProof/>
          <w:color w:val="31849B"/>
          <w:sz w:val="20"/>
          <w:szCs w:val="20"/>
        </w:rPr>
        <w:t xml:space="preserve">Podpořte boj proti korupci! Více na </w:t>
      </w:r>
      <w:hyperlink r:id="rId10" w:tgtFrame="_blank" w:history="1">
        <w:r>
          <w:rPr>
            <w:rStyle w:val="Hypertextovodkaz"/>
            <w:rFonts w:cstheme="minorHAnsi"/>
            <w:i/>
            <w:iCs/>
            <w:noProof/>
            <w:sz w:val="20"/>
            <w:szCs w:val="20"/>
          </w:rPr>
          <w:t>www.transparency.cz</w:t>
        </w:r>
      </w:hyperlink>
    </w:p>
    <w:p w:rsidR="00AB117E" w:rsidRPr="00B17261" w:rsidRDefault="00AB117E" w:rsidP="00114082">
      <w:pPr>
        <w:ind w:left="-142" w:right="-1"/>
        <w:rPr>
          <w:rFonts w:ascii="Arial" w:eastAsia="Times New Roman" w:hAnsi="Arial" w:cs="Arial"/>
          <w:color w:val="000000"/>
        </w:rPr>
      </w:pPr>
      <w:r>
        <w:rPr>
          <w:noProof/>
          <w:color w:val="0000FF"/>
        </w:rPr>
        <w:drawing>
          <wp:inline distT="0" distB="0" distL="0" distR="0" wp14:anchorId="5F49909D" wp14:editId="243DAEA1">
            <wp:extent cx="2171700" cy="247650"/>
            <wp:effectExtent l="0" t="0" r="0" b="0"/>
            <wp:docPr id="1" name="Obrázek 1" descr="Popis: klub TIC_malý">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Popis: klub TIC_malý">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71700" cy="247650"/>
                    </a:xfrm>
                    <a:prstGeom prst="rect">
                      <a:avLst/>
                    </a:prstGeom>
                    <a:noFill/>
                    <a:ln>
                      <a:noFill/>
                    </a:ln>
                  </pic:spPr>
                </pic:pic>
              </a:graphicData>
            </a:graphic>
          </wp:inline>
        </w:drawing>
      </w:r>
    </w:p>
    <w:sectPr w:rsidR="00AB117E" w:rsidRPr="00B17261" w:rsidSect="00F82C94">
      <w:headerReference w:type="default" r:id="rId13"/>
      <w:footerReference w:type="default" r:id="rId14"/>
      <w:headerReference w:type="first" r:id="rId15"/>
      <w:footerReference w:type="first" r:id="rId16"/>
      <w:pgSz w:w="11906" w:h="16838" w:code="9"/>
      <w:pgMar w:top="1809" w:right="1133" w:bottom="1418" w:left="1418" w:header="851" w:footer="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6E2D" w:rsidRDefault="002E6E2D">
      <w:r>
        <w:separator/>
      </w:r>
    </w:p>
  </w:endnote>
  <w:endnote w:type="continuationSeparator" w:id="0">
    <w:p w:rsidR="002E6E2D" w:rsidRDefault="002E6E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nhem CE">
    <w:altName w:val="Times New Roman"/>
    <w:panose1 w:val="00000000000000000000"/>
    <w:charset w:val="EE"/>
    <w:family w:val="roman"/>
    <w:notTrueType/>
    <w:pitch w:val="default"/>
    <w:sig w:usb0="00000007" w:usb1="00000000" w:usb2="00000000" w:usb3="00000000" w:csb0="00000003" w:csb1="00000000"/>
  </w:font>
  <w:font w:name="Arial">
    <w:panose1 w:val="020B0604020202020204"/>
    <w:charset w:val="EE"/>
    <w:family w:val="swiss"/>
    <w:pitch w:val="variable"/>
    <w:sig w:usb0="E0002AFF" w:usb1="C0007843" w:usb2="00000009" w:usb3="00000000" w:csb0="000001FF" w:csb1="00000000"/>
  </w:font>
  <w:font w:name="Levenim MT">
    <w:panose1 w:val="02010502060101010101"/>
    <w:charset w:val="B1"/>
    <w:family w:val="auto"/>
    <w:pitch w:val="variable"/>
    <w:sig w:usb0="00000801" w:usb1="00000000" w:usb2="00000000" w:usb3="00000000" w:csb0="00000020" w:csb1="00000000"/>
  </w:font>
  <w:font w:name="GothamBookCE">
    <w:altName w:val="Arial"/>
    <w:panose1 w:val="00000000000000000000"/>
    <w:charset w:val="00"/>
    <w:family w:val="modern"/>
    <w:notTrueType/>
    <w:pitch w:val="variable"/>
    <w:sig w:usb0="00000001" w:usb1="00000000" w:usb2="00000000" w:usb3="00000000" w:csb0="0000000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944" w:rsidRDefault="00891944" w:rsidP="00BD5FFA">
    <w:pPr>
      <w:pBdr>
        <w:top w:val="single" w:sz="4" w:space="13" w:color="000000"/>
      </w:pBdr>
      <w:jc w:val="right"/>
    </w:pPr>
    <w:r w:rsidRPr="00AE3740">
      <w:rPr>
        <w:sz w:val="16"/>
        <w:szCs w:val="16"/>
      </w:rPr>
      <w:t xml:space="preserve">Stránka </w:t>
    </w:r>
    <w:r w:rsidR="0017689F" w:rsidRPr="00AE3740">
      <w:rPr>
        <w:sz w:val="16"/>
        <w:szCs w:val="16"/>
      </w:rPr>
      <w:fldChar w:fldCharType="begin"/>
    </w:r>
    <w:r w:rsidRPr="00AE3740">
      <w:rPr>
        <w:sz w:val="16"/>
        <w:szCs w:val="16"/>
      </w:rPr>
      <w:instrText xml:space="preserve"> PAGE </w:instrText>
    </w:r>
    <w:r w:rsidR="0017689F" w:rsidRPr="00AE3740">
      <w:rPr>
        <w:sz w:val="16"/>
        <w:szCs w:val="16"/>
      </w:rPr>
      <w:fldChar w:fldCharType="separate"/>
    </w:r>
    <w:r w:rsidR="00114082">
      <w:rPr>
        <w:noProof/>
        <w:sz w:val="16"/>
        <w:szCs w:val="16"/>
      </w:rPr>
      <w:t>2</w:t>
    </w:r>
    <w:r w:rsidR="0017689F" w:rsidRPr="00AE3740">
      <w:rPr>
        <w:sz w:val="16"/>
        <w:szCs w:val="16"/>
      </w:rPr>
      <w:fldChar w:fldCharType="end"/>
    </w:r>
    <w:r w:rsidRPr="00AE3740">
      <w:rPr>
        <w:sz w:val="16"/>
        <w:szCs w:val="16"/>
      </w:rPr>
      <w:t xml:space="preserve"> z </w:t>
    </w:r>
    <w:r w:rsidR="0017689F" w:rsidRPr="00AE3740">
      <w:rPr>
        <w:sz w:val="16"/>
        <w:szCs w:val="16"/>
      </w:rPr>
      <w:fldChar w:fldCharType="begin"/>
    </w:r>
    <w:r w:rsidRPr="00AE3740">
      <w:rPr>
        <w:sz w:val="16"/>
        <w:szCs w:val="16"/>
      </w:rPr>
      <w:instrText xml:space="preserve"> NUMPAGES  </w:instrText>
    </w:r>
    <w:r w:rsidR="0017689F" w:rsidRPr="00AE3740">
      <w:rPr>
        <w:sz w:val="16"/>
        <w:szCs w:val="16"/>
      </w:rPr>
      <w:fldChar w:fldCharType="separate"/>
    </w:r>
    <w:r w:rsidR="00114082">
      <w:rPr>
        <w:noProof/>
        <w:sz w:val="16"/>
        <w:szCs w:val="16"/>
      </w:rPr>
      <w:t>2</w:t>
    </w:r>
    <w:r w:rsidR="0017689F" w:rsidRPr="00AE3740">
      <w:rPr>
        <w:sz w:val="16"/>
        <w:szCs w:val="16"/>
      </w:rPr>
      <w:fldChar w:fldCharType="end"/>
    </w:r>
  </w:p>
  <w:p w:rsidR="00891944" w:rsidRDefault="00891944">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496" w:rsidRPr="00890496" w:rsidRDefault="00890496" w:rsidP="00890496">
    <w:pPr>
      <w:tabs>
        <w:tab w:val="left" w:pos="0"/>
      </w:tabs>
      <w:rPr>
        <w:color w:val="3366FF"/>
        <w:sz w:val="20"/>
        <w:szCs w:val="20"/>
        <w:lang w:val="pl-PL"/>
      </w:rPr>
    </w:pPr>
  </w:p>
  <w:p w:rsidR="00890496" w:rsidRDefault="00890496" w:rsidP="00890496">
    <w:pPr>
      <w:widowControl w:val="0"/>
      <w:pBdr>
        <w:top w:val="single" w:sz="4" w:space="0" w:color="000000"/>
      </w:pBdr>
      <w:autoSpaceDE w:val="0"/>
      <w:autoSpaceDN w:val="0"/>
      <w:adjustRightInd w:val="0"/>
      <w:spacing w:before="60"/>
      <w:jc w:val="center"/>
      <w:rPr>
        <w:rFonts w:ascii="GothamBookCE" w:hAnsi="GothamBookCE" w:cs="Arial"/>
        <w:color w:val="0000FF"/>
        <w:sz w:val="14"/>
        <w:szCs w:val="14"/>
      </w:rPr>
    </w:pPr>
  </w:p>
  <w:p w:rsidR="00891944" w:rsidRPr="00AE3DEE" w:rsidRDefault="00C5031E" w:rsidP="00890496">
    <w:pPr>
      <w:widowControl w:val="0"/>
      <w:pBdr>
        <w:top w:val="single" w:sz="4" w:space="0" w:color="000000"/>
      </w:pBdr>
      <w:autoSpaceDE w:val="0"/>
      <w:autoSpaceDN w:val="0"/>
      <w:adjustRightInd w:val="0"/>
      <w:spacing w:before="60"/>
      <w:jc w:val="center"/>
      <w:rPr>
        <w:rFonts w:ascii="GothamBookCE" w:hAnsi="GothamBookCE" w:cs="Arial"/>
        <w:sz w:val="14"/>
        <w:szCs w:val="14"/>
      </w:rPr>
    </w:pPr>
    <w:r w:rsidRPr="00AE3DEE">
      <w:rPr>
        <w:rFonts w:ascii="GothamBookCE" w:hAnsi="GothamBookCE" w:cs="Arial"/>
        <w:sz w:val="14"/>
        <w:szCs w:val="14"/>
      </w:rPr>
      <w:t>Sokolovská</w:t>
    </w:r>
    <w:r w:rsidR="00752161" w:rsidRPr="00AE3DEE">
      <w:rPr>
        <w:rFonts w:ascii="GothamBookCE" w:hAnsi="GothamBookCE" w:cs="Arial"/>
        <w:sz w:val="14"/>
        <w:szCs w:val="14"/>
      </w:rPr>
      <w:t xml:space="preserve"> </w:t>
    </w:r>
    <w:r w:rsidR="00AE3DEE" w:rsidRPr="00AE3DEE">
      <w:rPr>
        <w:rFonts w:ascii="GothamBookCE" w:hAnsi="GothamBookCE" w:cs="Arial"/>
        <w:sz w:val="14"/>
        <w:szCs w:val="14"/>
      </w:rPr>
      <w:t>260/</w:t>
    </w:r>
    <w:r w:rsidR="00752161" w:rsidRPr="00AE3DEE">
      <w:rPr>
        <w:rFonts w:ascii="GothamBookCE" w:hAnsi="GothamBookCE" w:cs="Arial"/>
        <w:sz w:val="14"/>
        <w:szCs w:val="14"/>
      </w:rPr>
      <w:t>143</w:t>
    </w:r>
    <w:r w:rsidR="0096177E" w:rsidRPr="00AE3DEE">
      <w:rPr>
        <w:rFonts w:ascii="GothamBookCE" w:hAnsi="GothamBookCE" w:cs="Arial"/>
        <w:sz w:val="14"/>
        <w:szCs w:val="14"/>
      </w:rPr>
      <w:t>, 180 00 Pr</w:t>
    </w:r>
    <w:r w:rsidRPr="00AE3DEE">
      <w:rPr>
        <w:rFonts w:ascii="GothamBookCE" w:hAnsi="GothamBookCE" w:cs="Arial"/>
        <w:sz w:val="14"/>
        <w:szCs w:val="14"/>
      </w:rPr>
      <w:t>aha 8, Česká republika</w:t>
    </w:r>
    <w:r w:rsidR="00891944" w:rsidRPr="00AE3DEE">
      <w:rPr>
        <w:rFonts w:ascii="GothamBookCE" w:hAnsi="GothamBookCE" w:cs="Arial"/>
        <w:sz w:val="14"/>
        <w:szCs w:val="14"/>
      </w:rPr>
      <w:br/>
      <w:t xml:space="preserve">Tel: +420 224 240 895-7 </w:t>
    </w:r>
    <w:r w:rsidR="00891944" w:rsidRPr="00AE3DEE">
      <w:rPr>
        <w:sz w:val="14"/>
        <w:szCs w:val="14"/>
      </w:rPr>
      <w:t>♦</w:t>
    </w:r>
    <w:r w:rsidR="00891944" w:rsidRPr="00AE3DEE">
      <w:rPr>
        <w:rFonts w:ascii="GothamBookCE" w:hAnsi="GothamBookCE" w:cs="Arial"/>
        <w:sz w:val="14"/>
        <w:szCs w:val="14"/>
      </w:rPr>
      <w:t xml:space="preserve"> Fax: +420 224 240 914 </w:t>
    </w:r>
    <w:r w:rsidR="00891944" w:rsidRPr="00AE3DEE">
      <w:rPr>
        <w:sz w:val="14"/>
        <w:szCs w:val="14"/>
      </w:rPr>
      <w:t>♦</w:t>
    </w:r>
    <w:r w:rsidR="00891944" w:rsidRPr="00AE3DEE">
      <w:rPr>
        <w:rFonts w:ascii="GothamBookCE" w:hAnsi="GothamBookCE" w:cs="Arial"/>
        <w:sz w:val="14"/>
        <w:szCs w:val="14"/>
      </w:rPr>
      <w:t xml:space="preserve"> www.transparency.cz</w:t>
    </w:r>
  </w:p>
  <w:p w:rsidR="00891944" w:rsidRDefault="00891944" w:rsidP="00AE3740">
    <w:pPr>
      <w:pStyle w:val="Zpat"/>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6E2D" w:rsidRDefault="002E6E2D">
      <w:r>
        <w:separator/>
      </w:r>
    </w:p>
  </w:footnote>
  <w:footnote w:type="continuationSeparator" w:id="0">
    <w:p w:rsidR="002E6E2D" w:rsidRDefault="002E6E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944" w:rsidRDefault="00891944" w:rsidP="00511F16">
    <w:pPr>
      <w:pStyle w:val="Zhlav"/>
      <w:tabs>
        <w:tab w:val="clear" w:pos="4536"/>
        <w:tab w:val="clear" w:pos="9072"/>
        <w:tab w:val="left" w:pos="7067"/>
      </w:tabs>
    </w:pPr>
  </w:p>
  <w:p w:rsidR="00891944" w:rsidRDefault="00891944" w:rsidP="005921BF">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7C0" w:rsidRDefault="00095207">
    <w:pPr>
      <w:pStyle w:val="Zhlav"/>
    </w:pPr>
    <w:r>
      <w:rPr>
        <w:noProof/>
      </w:rPr>
      <w:drawing>
        <wp:anchor distT="0" distB="0" distL="114300" distR="114300" simplePos="0" relativeHeight="251657728" behindDoc="1" locked="0" layoutInCell="1" allowOverlap="1" wp14:anchorId="6486D688" wp14:editId="23E11293">
          <wp:simplePos x="0" y="0"/>
          <wp:positionH relativeFrom="column">
            <wp:posOffset>-309880</wp:posOffset>
          </wp:positionH>
          <wp:positionV relativeFrom="paragraph">
            <wp:posOffset>21590</wp:posOffset>
          </wp:positionV>
          <wp:extent cx="2057400" cy="276225"/>
          <wp:effectExtent l="19050" t="0" r="0" b="0"/>
          <wp:wrapNone/>
          <wp:docPr id="2" name="obrázek 1" descr="TI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TICR"/>
                  <pic:cNvPicPr>
                    <a:picLocks noChangeAspect="1" noChangeArrowheads="1"/>
                  </pic:cNvPicPr>
                </pic:nvPicPr>
                <pic:blipFill>
                  <a:blip r:embed="rId1"/>
                  <a:srcRect/>
                  <a:stretch>
                    <a:fillRect/>
                  </a:stretch>
                </pic:blipFill>
                <pic:spPr bwMode="auto">
                  <a:xfrm>
                    <a:off x="0" y="0"/>
                    <a:ext cx="2057400" cy="276225"/>
                  </a:xfrm>
                  <a:prstGeom prst="rect">
                    <a:avLst/>
                  </a:prstGeom>
                  <a:noFill/>
                  <a:ln w="9525">
                    <a:noFill/>
                    <a:miter lim="800000"/>
                    <a:headEnd/>
                    <a:tailEnd/>
                  </a:ln>
                </pic:spPr>
              </pic:pic>
            </a:graphicData>
          </a:graphic>
        </wp:anchor>
      </w:drawing>
    </w:r>
  </w:p>
  <w:p w:rsidR="00A747C0" w:rsidRDefault="00A747C0">
    <w:pPr>
      <w:pStyle w:val="Zhlav"/>
    </w:pPr>
  </w:p>
  <w:p w:rsidR="00891944" w:rsidRPr="007072BC" w:rsidRDefault="00A747C0">
    <w:pPr>
      <w:pStyle w:val="Zhlav"/>
      <w:rPr>
        <w:rFonts w:ascii="Arial" w:hAnsi="Arial" w:cs="Levenim MT"/>
        <w:i/>
      </w:rPr>
    </w:pPr>
    <w:r w:rsidRPr="007072BC">
      <w:rPr>
        <w:rFonts w:ascii="Arial" w:hAnsi="Arial" w:cs="Levenim MT"/>
        <w:i/>
        <w:color w:val="31849B"/>
        <w:sz w:val="18"/>
        <w:szCs w:val="18"/>
      </w:rPr>
      <w:t>H</w:t>
    </w:r>
    <w:r w:rsidR="00AE3DEE">
      <w:rPr>
        <w:rFonts w:ascii="Arial" w:hAnsi="Arial" w:cs="Levenim MT"/>
        <w:i/>
        <w:color w:val="31849B"/>
        <w:sz w:val="18"/>
        <w:szCs w:val="18"/>
      </w:rPr>
      <w:t>lídáme veřejný zájem, h</w:t>
    </w:r>
    <w:r w:rsidRPr="007072BC">
      <w:rPr>
        <w:rFonts w:ascii="Arial" w:hAnsi="Arial" w:cs="Levenim MT"/>
        <w:i/>
        <w:color w:val="31849B"/>
        <w:sz w:val="18"/>
        <w:szCs w:val="18"/>
      </w:rPr>
      <w:t>ájíme efektivní a odpovědnou správu země.</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54C27"/>
    <w:multiLevelType w:val="hybridMultilevel"/>
    <w:tmpl w:val="9092B246"/>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1187114F"/>
    <w:multiLevelType w:val="hybridMultilevel"/>
    <w:tmpl w:val="6D3647F6"/>
    <w:lvl w:ilvl="0" w:tplc="2D5C7632">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26FF5099"/>
    <w:multiLevelType w:val="hybridMultilevel"/>
    <w:tmpl w:val="A93AC524"/>
    <w:lvl w:ilvl="0" w:tplc="04050013">
      <w:start w:val="1"/>
      <w:numFmt w:val="upperRoman"/>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3A200FE7"/>
    <w:multiLevelType w:val="hybridMultilevel"/>
    <w:tmpl w:val="6FC8B62C"/>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3CE31BA8"/>
    <w:multiLevelType w:val="hybridMultilevel"/>
    <w:tmpl w:val="7F1AA39C"/>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61E42F71"/>
    <w:multiLevelType w:val="hybridMultilevel"/>
    <w:tmpl w:val="9E603EA2"/>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64FD1008"/>
    <w:multiLevelType w:val="hybridMultilevel"/>
    <w:tmpl w:val="73BC6E74"/>
    <w:lvl w:ilvl="0" w:tplc="5262F276">
      <w:start w:val="3"/>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7F55352B"/>
    <w:multiLevelType w:val="hybridMultilevel"/>
    <w:tmpl w:val="DD9C40BE"/>
    <w:lvl w:ilvl="0" w:tplc="04050013">
      <w:start w:val="1"/>
      <w:numFmt w:val="upperRoman"/>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7"/>
  </w:num>
  <w:num w:numId="2">
    <w:abstractNumId w:val="2"/>
  </w:num>
  <w:num w:numId="3">
    <w:abstractNumId w:val="3"/>
  </w:num>
  <w:num w:numId="4">
    <w:abstractNumId w:val="0"/>
  </w:num>
  <w:num w:numId="5">
    <w:abstractNumId w:val="1"/>
  </w:num>
  <w:num w:numId="6">
    <w:abstractNumId w:val="5"/>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F37"/>
    <w:rsid w:val="00033476"/>
    <w:rsid w:val="00035F50"/>
    <w:rsid w:val="00036A36"/>
    <w:rsid w:val="00037426"/>
    <w:rsid w:val="00041EB0"/>
    <w:rsid w:val="00071C3A"/>
    <w:rsid w:val="000728C9"/>
    <w:rsid w:val="0008363F"/>
    <w:rsid w:val="00095207"/>
    <w:rsid w:val="000F46DB"/>
    <w:rsid w:val="001077D7"/>
    <w:rsid w:val="0011041F"/>
    <w:rsid w:val="00114082"/>
    <w:rsid w:val="00121CFE"/>
    <w:rsid w:val="001532DA"/>
    <w:rsid w:val="0017689F"/>
    <w:rsid w:val="00184E8F"/>
    <w:rsid w:val="001E769B"/>
    <w:rsid w:val="00224267"/>
    <w:rsid w:val="00256A63"/>
    <w:rsid w:val="00286EB8"/>
    <w:rsid w:val="002A3307"/>
    <w:rsid w:val="002A42C0"/>
    <w:rsid w:val="002A4888"/>
    <w:rsid w:val="002C74E8"/>
    <w:rsid w:val="002E6E2D"/>
    <w:rsid w:val="002F1C7D"/>
    <w:rsid w:val="00333782"/>
    <w:rsid w:val="00352A3E"/>
    <w:rsid w:val="0038007B"/>
    <w:rsid w:val="00391CC2"/>
    <w:rsid w:val="003A088E"/>
    <w:rsid w:val="003C5511"/>
    <w:rsid w:val="003C786C"/>
    <w:rsid w:val="003F0E06"/>
    <w:rsid w:val="003F34D5"/>
    <w:rsid w:val="00421442"/>
    <w:rsid w:val="004546A9"/>
    <w:rsid w:val="00460112"/>
    <w:rsid w:val="00490F37"/>
    <w:rsid w:val="004A4537"/>
    <w:rsid w:val="004B5E4E"/>
    <w:rsid w:val="004C3D3C"/>
    <w:rsid w:val="00511F16"/>
    <w:rsid w:val="00520FA1"/>
    <w:rsid w:val="0058073F"/>
    <w:rsid w:val="00583A6F"/>
    <w:rsid w:val="005921BF"/>
    <w:rsid w:val="00620FCB"/>
    <w:rsid w:val="00623100"/>
    <w:rsid w:val="0065192D"/>
    <w:rsid w:val="00654D75"/>
    <w:rsid w:val="00662873"/>
    <w:rsid w:val="006723FE"/>
    <w:rsid w:val="0067788B"/>
    <w:rsid w:val="00677C00"/>
    <w:rsid w:val="006978D1"/>
    <w:rsid w:val="007072BC"/>
    <w:rsid w:val="007224B7"/>
    <w:rsid w:val="0073200A"/>
    <w:rsid w:val="00744F16"/>
    <w:rsid w:val="00752161"/>
    <w:rsid w:val="00756DBE"/>
    <w:rsid w:val="00760D60"/>
    <w:rsid w:val="007726C4"/>
    <w:rsid w:val="00775BF6"/>
    <w:rsid w:val="007A49AD"/>
    <w:rsid w:val="007C3945"/>
    <w:rsid w:val="007F2FC3"/>
    <w:rsid w:val="007F7F57"/>
    <w:rsid w:val="00807D26"/>
    <w:rsid w:val="008166EC"/>
    <w:rsid w:val="00843FDF"/>
    <w:rsid w:val="008505EF"/>
    <w:rsid w:val="00851E7D"/>
    <w:rsid w:val="00885767"/>
    <w:rsid w:val="00890496"/>
    <w:rsid w:val="00891944"/>
    <w:rsid w:val="008F238F"/>
    <w:rsid w:val="009104F5"/>
    <w:rsid w:val="009431F1"/>
    <w:rsid w:val="009459F9"/>
    <w:rsid w:val="0096177E"/>
    <w:rsid w:val="00A664DD"/>
    <w:rsid w:val="00A747C0"/>
    <w:rsid w:val="00AB117E"/>
    <w:rsid w:val="00AD1563"/>
    <w:rsid w:val="00AD40A0"/>
    <w:rsid w:val="00AE3740"/>
    <w:rsid w:val="00AE3DEE"/>
    <w:rsid w:val="00AE6817"/>
    <w:rsid w:val="00AF4BD5"/>
    <w:rsid w:val="00B17261"/>
    <w:rsid w:val="00B17B85"/>
    <w:rsid w:val="00B21421"/>
    <w:rsid w:val="00B73496"/>
    <w:rsid w:val="00B965C0"/>
    <w:rsid w:val="00BB389A"/>
    <w:rsid w:val="00BB4C81"/>
    <w:rsid w:val="00BB5189"/>
    <w:rsid w:val="00BD5FFA"/>
    <w:rsid w:val="00BD6893"/>
    <w:rsid w:val="00C5031E"/>
    <w:rsid w:val="00C74950"/>
    <w:rsid w:val="00C75539"/>
    <w:rsid w:val="00C776B5"/>
    <w:rsid w:val="00C80733"/>
    <w:rsid w:val="00C826E6"/>
    <w:rsid w:val="00C863FC"/>
    <w:rsid w:val="00CA590C"/>
    <w:rsid w:val="00CC09BC"/>
    <w:rsid w:val="00CC418E"/>
    <w:rsid w:val="00D00B05"/>
    <w:rsid w:val="00D13F57"/>
    <w:rsid w:val="00D538A2"/>
    <w:rsid w:val="00D64B7C"/>
    <w:rsid w:val="00D9306A"/>
    <w:rsid w:val="00D96277"/>
    <w:rsid w:val="00DA78FC"/>
    <w:rsid w:val="00DD299B"/>
    <w:rsid w:val="00E07654"/>
    <w:rsid w:val="00E176B5"/>
    <w:rsid w:val="00E20AE3"/>
    <w:rsid w:val="00E338CA"/>
    <w:rsid w:val="00E42C6C"/>
    <w:rsid w:val="00E506C5"/>
    <w:rsid w:val="00E52808"/>
    <w:rsid w:val="00E67A80"/>
    <w:rsid w:val="00E90A07"/>
    <w:rsid w:val="00EA13FF"/>
    <w:rsid w:val="00F20475"/>
    <w:rsid w:val="00F272F9"/>
    <w:rsid w:val="00F45931"/>
    <w:rsid w:val="00F475D4"/>
    <w:rsid w:val="00F61415"/>
    <w:rsid w:val="00F82C94"/>
    <w:rsid w:val="00FC7F8E"/>
    <w:rsid w:val="00FE140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7F2FC3"/>
    <w:pPr>
      <w:spacing w:after="200" w:line="276" w:lineRule="auto"/>
    </w:pPr>
    <w:rPr>
      <w:rFonts w:asciiTheme="minorHAnsi" w:eastAsiaTheme="minorEastAsia" w:hAnsiTheme="minorHAnsi" w:cstheme="minorBidi"/>
      <w:sz w:val="22"/>
      <w:szCs w:val="22"/>
    </w:rPr>
  </w:style>
  <w:style w:type="paragraph" w:styleId="Nadpis1">
    <w:name w:val="heading 1"/>
    <w:basedOn w:val="Normln"/>
    <w:next w:val="Normln"/>
    <w:link w:val="Nadpis1Char"/>
    <w:uiPriority w:val="9"/>
    <w:qFormat/>
    <w:rsid w:val="00286EB8"/>
    <w:pPr>
      <w:keepNext/>
      <w:keepLines/>
      <w:spacing w:before="480" w:after="0"/>
      <w:outlineLvl w:val="0"/>
    </w:pPr>
    <w:rPr>
      <w:rFonts w:ascii="Cambria" w:eastAsia="Times New Roman" w:hAnsi="Cambria" w:cs="Times New Roman"/>
      <w:b/>
      <w:bCs/>
      <w:color w:val="365F91"/>
      <w:sz w:val="28"/>
      <w:szCs w:val="28"/>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CA590C"/>
    <w:pPr>
      <w:tabs>
        <w:tab w:val="center" w:pos="4536"/>
        <w:tab w:val="right" w:pos="9072"/>
      </w:tabs>
      <w:spacing w:after="0" w:line="240" w:lineRule="auto"/>
    </w:pPr>
    <w:rPr>
      <w:rFonts w:ascii="Times New Roman" w:eastAsia="Times New Roman" w:hAnsi="Times New Roman" w:cs="Times New Roman"/>
      <w:sz w:val="24"/>
      <w:szCs w:val="24"/>
    </w:rPr>
  </w:style>
  <w:style w:type="paragraph" w:styleId="Zpat">
    <w:name w:val="footer"/>
    <w:basedOn w:val="Normln"/>
    <w:rsid w:val="00CA590C"/>
    <w:pPr>
      <w:tabs>
        <w:tab w:val="center" w:pos="4536"/>
        <w:tab w:val="right" w:pos="9072"/>
      </w:tabs>
      <w:spacing w:after="0" w:line="240" w:lineRule="auto"/>
    </w:pPr>
    <w:rPr>
      <w:rFonts w:ascii="Times New Roman" w:eastAsia="Times New Roman" w:hAnsi="Times New Roman" w:cs="Times New Roman"/>
      <w:sz w:val="24"/>
      <w:szCs w:val="24"/>
    </w:rPr>
  </w:style>
  <w:style w:type="table" w:styleId="Mkatabulky">
    <w:name w:val="Table Grid"/>
    <w:basedOn w:val="Normlntabulka"/>
    <w:rsid w:val="00511F1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bubliny">
    <w:name w:val="Balloon Text"/>
    <w:basedOn w:val="Normln"/>
    <w:semiHidden/>
    <w:rsid w:val="0096177E"/>
    <w:rPr>
      <w:rFonts w:ascii="Tahoma" w:hAnsi="Tahoma" w:cs="Tahoma"/>
      <w:sz w:val="16"/>
      <w:szCs w:val="16"/>
    </w:rPr>
  </w:style>
  <w:style w:type="paragraph" w:customStyle="1" w:styleId="Default">
    <w:name w:val="Default"/>
    <w:rsid w:val="007A49AD"/>
    <w:pPr>
      <w:autoSpaceDE w:val="0"/>
      <w:autoSpaceDN w:val="0"/>
      <w:adjustRightInd w:val="0"/>
    </w:pPr>
    <w:rPr>
      <w:rFonts w:ascii="Arnhem CE" w:hAnsi="Arnhem CE" w:cs="Arnhem CE"/>
      <w:color w:val="000000"/>
      <w:sz w:val="24"/>
      <w:szCs w:val="24"/>
    </w:rPr>
  </w:style>
  <w:style w:type="character" w:customStyle="1" w:styleId="Nadpis1Char">
    <w:name w:val="Nadpis 1 Char"/>
    <w:basedOn w:val="Standardnpsmoodstavce"/>
    <w:link w:val="Nadpis1"/>
    <w:uiPriority w:val="9"/>
    <w:rsid w:val="00286EB8"/>
    <w:rPr>
      <w:rFonts w:ascii="Cambria" w:hAnsi="Cambria"/>
      <w:b/>
      <w:bCs/>
      <w:color w:val="365F91"/>
      <w:sz w:val="28"/>
      <w:szCs w:val="28"/>
      <w:lang w:eastAsia="en-US"/>
    </w:rPr>
  </w:style>
  <w:style w:type="paragraph" w:styleId="Odstavecseseznamem">
    <w:name w:val="List Paragraph"/>
    <w:basedOn w:val="Normln"/>
    <w:uiPriority w:val="34"/>
    <w:qFormat/>
    <w:rsid w:val="00286EB8"/>
    <w:pPr>
      <w:ind w:left="720"/>
      <w:contextualSpacing/>
    </w:pPr>
    <w:rPr>
      <w:rFonts w:ascii="Calibri" w:eastAsia="Calibri" w:hAnsi="Calibri" w:cs="Times New Roman"/>
      <w:lang w:eastAsia="en-US"/>
    </w:rPr>
  </w:style>
  <w:style w:type="paragraph" w:styleId="Podtitul">
    <w:name w:val="Subtitle"/>
    <w:basedOn w:val="Normln"/>
    <w:next w:val="Normln"/>
    <w:link w:val="PodtitulChar"/>
    <w:qFormat/>
    <w:rsid w:val="009431F1"/>
    <w:pPr>
      <w:numPr>
        <w:ilvl w:val="1"/>
      </w:numPr>
      <w:spacing w:after="0" w:line="240" w:lineRule="auto"/>
    </w:pPr>
    <w:rPr>
      <w:rFonts w:ascii="Cambria" w:eastAsia="Times New Roman" w:hAnsi="Cambria" w:cs="Times New Roman"/>
      <w:i/>
      <w:iCs/>
      <w:color w:val="4F81BD"/>
      <w:spacing w:val="15"/>
      <w:sz w:val="24"/>
      <w:szCs w:val="24"/>
    </w:rPr>
  </w:style>
  <w:style w:type="character" w:customStyle="1" w:styleId="PodtitulChar">
    <w:name w:val="Podtitul Char"/>
    <w:basedOn w:val="Standardnpsmoodstavce"/>
    <w:link w:val="Podtitul"/>
    <w:rsid w:val="009431F1"/>
    <w:rPr>
      <w:rFonts w:ascii="Cambria" w:eastAsia="Times New Roman" w:hAnsi="Cambria" w:cs="Times New Roman"/>
      <w:i/>
      <w:iCs/>
      <w:color w:val="4F81BD"/>
      <w:spacing w:val="15"/>
      <w:sz w:val="24"/>
      <w:szCs w:val="24"/>
    </w:rPr>
  </w:style>
  <w:style w:type="character" w:styleId="Hypertextovodkaz">
    <w:name w:val="Hyperlink"/>
    <w:basedOn w:val="Standardnpsmoodstavce"/>
    <w:rsid w:val="0089049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7F2FC3"/>
    <w:pPr>
      <w:spacing w:after="200" w:line="276" w:lineRule="auto"/>
    </w:pPr>
    <w:rPr>
      <w:rFonts w:asciiTheme="minorHAnsi" w:eastAsiaTheme="minorEastAsia" w:hAnsiTheme="minorHAnsi" w:cstheme="minorBidi"/>
      <w:sz w:val="22"/>
      <w:szCs w:val="22"/>
    </w:rPr>
  </w:style>
  <w:style w:type="paragraph" w:styleId="Nadpis1">
    <w:name w:val="heading 1"/>
    <w:basedOn w:val="Normln"/>
    <w:next w:val="Normln"/>
    <w:link w:val="Nadpis1Char"/>
    <w:uiPriority w:val="9"/>
    <w:qFormat/>
    <w:rsid w:val="00286EB8"/>
    <w:pPr>
      <w:keepNext/>
      <w:keepLines/>
      <w:spacing w:before="480" w:after="0"/>
      <w:outlineLvl w:val="0"/>
    </w:pPr>
    <w:rPr>
      <w:rFonts w:ascii="Cambria" w:eastAsia="Times New Roman" w:hAnsi="Cambria" w:cs="Times New Roman"/>
      <w:b/>
      <w:bCs/>
      <w:color w:val="365F91"/>
      <w:sz w:val="28"/>
      <w:szCs w:val="28"/>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CA590C"/>
    <w:pPr>
      <w:tabs>
        <w:tab w:val="center" w:pos="4536"/>
        <w:tab w:val="right" w:pos="9072"/>
      </w:tabs>
      <w:spacing w:after="0" w:line="240" w:lineRule="auto"/>
    </w:pPr>
    <w:rPr>
      <w:rFonts w:ascii="Times New Roman" w:eastAsia="Times New Roman" w:hAnsi="Times New Roman" w:cs="Times New Roman"/>
      <w:sz w:val="24"/>
      <w:szCs w:val="24"/>
    </w:rPr>
  </w:style>
  <w:style w:type="paragraph" w:styleId="Zpat">
    <w:name w:val="footer"/>
    <w:basedOn w:val="Normln"/>
    <w:rsid w:val="00CA590C"/>
    <w:pPr>
      <w:tabs>
        <w:tab w:val="center" w:pos="4536"/>
        <w:tab w:val="right" w:pos="9072"/>
      </w:tabs>
      <w:spacing w:after="0" w:line="240" w:lineRule="auto"/>
    </w:pPr>
    <w:rPr>
      <w:rFonts w:ascii="Times New Roman" w:eastAsia="Times New Roman" w:hAnsi="Times New Roman" w:cs="Times New Roman"/>
      <w:sz w:val="24"/>
      <w:szCs w:val="24"/>
    </w:rPr>
  </w:style>
  <w:style w:type="table" w:styleId="Mkatabulky">
    <w:name w:val="Table Grid"/>
    <w:basedOn w:val="Normlntabulka"/>
    <w:rsid w:val="00511F1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bubliny">
    <w:name w:val="Balloon Text"/>
    <w:basedOn w:val="Normln"/>
    <w:semiHidden/>
    <w:rsid w:val="0096177E"/>
    <w:rPr>
      <w:rFonts w:ascii="Tahoma" w:hAnsi="Tahoma" w:cs="Tahoma"/>
      <w:sz w:val="16"/>
      <w:szCs w:val="16"/>
    </w:rPr>
  </w:style>
  <w:style w:type="paragraph" w:customStyle="1" w:styleId="Default">
    <w:name w:val="Default"/>
    <w:rsid w:val="007A49AD"/>
    <w:pPr>
      <w:autoSpaceDE w:val="0"/>
      <w:autoSpaceDN w:val="0"/>
      <w:adjustRightInd w:val="0"/>
    </w:pPr>
    <w:rPr>
      <w:rFonts w:ascii="Arnhem CE" w:hAnsi="Arnhem CE" w:cs="Arnhem CE"/>
      <w:color w:val="000000"/>
      <w:sz w:val="24"/>
      <w:szCs w:val="24"/>
    </w:rPr>
  </w:style>
  <w:style w:type="character" w:customStyle="1" w:styleId="Nadpis1Char">
    <w:name w:val="Nadpis 1 Char"/>
    <w:basedOn w:val="Standardnpsmoodstavce"/>
    <w:link w:val="Nadpis1"/>
    <w:uiPriority w:val="9"/>
    <w:rsid w:val="00286EB8"/>
    <w:rPr>
      <w:rFonts w:ascii="Cambria" w:hAnsi="Cambria"/>
      <w:b/>
      <w:bCs/>
      <w:color w:val="365F91"/>
      <w:sz w:val="28"/>
      <w:szCs w:val="28"/>
      <w:lang w:eastAsia="en-US"/>
    </w:rPr>
  </w:style>
  <w:style w:type="paragraph" w:styleId="Odstavecseseznamem">
    <w:name w:val="List Paragraph"/>
    <w:basedOn w:val="Normln"/>
    <w:uiPriority w:val="34"/>
    <w:qFormat/>
    <w:rsid w:val="00286EB8"/>
    <w:pPr>
      <w:ind w:left="720"/>
      <w:contextualSpacing/>
    </w:pPr>
    <w:rPr>
      <w:rFonts w:ascii="Calibri" w:eastAsia="Calibri" w:hAnsi="Calibri" w:cs="Times New Roman"/>
      <w:lang w:eastAsia="en-US"/>
    </w:rPr>
  </w:style>
  <w:style w:type="paragraph" w:styleId="Podtitul">
    <w:name w:val="Subtitle"/>
    <w:basedOn w:val="Normln"/>
    <w:next w:val="Normln"/>
    <w:link w:val="PodtitulChar"/>
    <w:qFormat/>
    <w:rsid w:val="009431F1"/>
    <w:pPr>
      <w:numPr>
        <w:ilvl w:val="1"/>
      </w:numPr>
      <w:spacing w:after="0" w:line="240" w:lineRule="auto"/>
    </w:pPr>
    <w:rPr>
      <w:rFonts w:ascii="Cambria" w:eastAsia="Times New Roman" w:hAnsi="Cambria" w:cs="Times New Roman"/>
      <w:i/>
      <w:iCs/>
      <w:color w:val="4F81BD"/>
      <w:spacing w:val="15"/>
      <w:sz w:val="24"/>
      <w:szCs w:val="24"/>
    </w:rPr>
  </w:style>
  <w:style w:type="character" w:customStyle="1" w:styleId="PodtitulChar">
    <w:name w:val="Podtitul Char"/>
    <w:basedOn w:val="Standardnpsmoodstavce"/>
    <w:link w:val="Podtitul"/>
    <w:rsid w:val="009431F1"/>
    <w:rPr>
      <w:rFonts w:ascii="Cambria" w:eastAsia="Times New Roman" w:hAnsi="Cambria" w:cs="Times New Roman"/>
      <w:i/>
      <w:iCs/>
      <w:color w:val="4F81BD"/>
      <w:spacing w:val="15"/>
      <w:sz w:val="24"/>
      <w:szCs w:val="24"/>
    </w:rPr>
  </w:style>
  <w:style w:type="character" w:styleId="Hypertextovodkaz">
    <w:name w:val="Hyperlink"/>
    <w:basedOn w:val="Standardnpsmoodstavce"/>
    <w:rsid w:val="0089049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6963625">
      <w:bodyDiv w:val="1"/>
      <w:marLeft w:val="0"/>
      <w:marRight w:val="0"/>
      <w:marTop w:val="0"/>
      <w:marBottom w:val="0"/>
      <w:divBdr>
        <w:top w:val="none" w:sz="0" w:space="0" w:color="auto"/>
        <w:left w:val="none" w:sz="0" w:space="0" w:color="auto"/>
        <w:bottom w:val="none" w:sz="0" w:space="0" w:color="auto"/>
        <w:right w:val="none" w:sz="0" w:space="0" w:color="auto"/>
      </w:divBdr>
    </w:div>
    <w:div w:id="727849310">
      <w:bodyDiv w:val="1"/>
      <w:marLeft w:val="0"/>
      <w:marRight w:val="0"/>
      <w:marTop w:val="0"/>
      <w:marBottom w:val="0"/>
      <w:divBdr>
        <w:top w:val="none" w:sz="0" w:space="0" w:color="auto"/>
        <w:left w:val="none" w:sz="0" w:space="0" w:color="auto"/>
        <w:bottom w:val="none" w:sz="0" w:space="0" w:color="auto"/>
        <w:right w:val="none" w:sz="0" w:space="0" w:color="auto"/>
      </w:divBdr>
    </w:div>
    <w:div w:id="969633064">
      <w:bodyDiv w:val="1"/>
      <w:marLeft w:val="0"/>
      <w:marRight w:val="0"/>
      <w:marTop w:val="0"/>
      <w:marBottom w:val="0"/>
      <w:divBdr>
        <w:top w:val="none" w:sz="0" w:space="0" w:color="auto"/>
        <w:left w:val="none" w:sz="0" w:space="0" w:color="auto"/>
        <w:bottom w:val="none" w:sz="0" w:space="0" w:color="auto"/>
        <w:right w:val="none" w:sz="0" w:space="0" w:color="auto"/>
      </w:divBdr>
    </w:div>
    <w:div w:id="1519352283">
      <w:bodyDiv w:val="1"/>
      <w:marLeft w:val="0"/>
      <w:marRight w:val="0"/>
      <w:marTop w:val="0"/>
      <w:marBottom w:val="0"/>
      <w:divBdr>
        <w:top w:val="none" w:sz="0" w:space="0" w:color="auto"/>
        <w:left w:val="none" w:sz="0" w:space="0" w:color="auto"/>
        <w:bottom w:val="none" w:sz="0" w:space="0" w:color="auto"/>
        <w:right w:val="none" w:sz="0" w:space="0" w:color="auto"/>
      </w:divBdr>
    </w:div>
    <w:div w:id="1545171377">
      <w:bodyDiv w:val="1"/>
      <w:marLeft w:val="0"/>
      <w:marRight w:val="0"/>
      <w:marTop w:val="0"/>
      <w:marBottom w:val="0"/>
      <w:divBdr>
        <w:top w:val="none" w:sz="0" w:space="0" w:color="auto"/>
        <w:left w:val="none" w:sz="0" w:space="0" w:color="auto"/>
        <w:bottom w:val="none" w:sz="0" w:space="0" w:color="auto"/>
        <w:right w:val="none" w:sz="0" w:space="0" w:color="auto"/>
      </w:divBdr>
    </w:div>
    <w:div w:id="1955406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ransparency.cz/klub-transparency/"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transparency.cz/" TargetMode="External"/><Relationship Id="rId4" Type="http://schemas.microsoft.com/office/2007/relationships/stylesWithEffects" Target="stylesWithEffects.xml"/><Relationship Id="rId9" Type="http://schemas.openxmlformats.org/officeDocument/2006/relationships/hyperlink" Target="mailto:ondracka@transparency.cz"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ranek\Documents\Hlavi&#269;kov&#253;%20pap&#237;r%202011.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41D6E0-100F-4331-ADBF-51A93CDC1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Hlavičkový papír 2011</Template>
  <TotalTime>1114</TotalTime>
  <Pages>1</Pages>
  <Words>424</Words>
  <Characters>2502</Characters>
  <Application>Microsoft Office Word</Application>
  <DocSecurity>0</DocSecurity>
  <Lines>20</Lines>
  <Paragraphs>5</Paragraphs>
  <ScaleCrop>false</ScaleCrop>
  <HeadingPairs>
    <vt:vector size="2" baseType="variant">
      <vt:variant>
        <vt:lpstr>Název</vt:lpstr>
      </vt:variant>
      <vt:variant>
        <vt:i4>1</vt:i4>
      </vt:variant>
    </vt:vector>
  </HeadingPairs>
  <TitlesOfParts>
    <vt:vector size="1" baseType="lpstr">
      <vt:lpstr>Titul, Jméno, Příjmení</vt:lpstr>
    </vt:vector>
  </TitlesOfParts>
  <Company>Transparency International</Company>
  <LinksUpToDate>false</LinksUpToDate>
  <CharactersWithSpaces>2921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Titul, Jméno, Příjmení</dc:title>
  <dc:creator>Stanislav Beranek</dc:creator>
  <cp:lastModifiedBy>David Ondráčka</cp:lastModifiedBy>
  <cp:revision>12</cp:revision>
  <cp:lastPrinted>2012-07-10T09:38:00Z</cp:lastPrinted>
  <dcterms:created xsi:type="dcterms:W3CDTF">2012-07-09T15:05:00Z</dcterms:created>
  <dcterms:modified xsi:type="dcterms:W3CDTF">2012-07-10T09:45:00Z</dcterms:modified>
</cp:coreProperties>
</file>