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53" w:rsidRPr="009A425F" w:rsidRDefault="00A62953" w:rsidP="008A66E1">
      <w:pPr>
        <w:tabs>
          <w:tab w:val="left" w:pos="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A425F">
        <w:rPr>
          <w:rFonts w:ascii="Calibri" w:hAnsi="Calibri" w:cs="Calibri"/>
          <w:sz w:val="22"/>
          <w:szCs w:val="22"/>
        </w:rPr>
        <w:t>TISKOVÁ ZPRÁVA, Praha</w:t>
      </w:r>
      <w:r w:rsidR="002318E5">
        <w:rPr>
          <w:rFonts w:ascii="Calibri" w:hAnsi="Calibri" w:cs="Calibri"/>
          <w:sz w:val="22"/>
          <w:szCs w:val="22"/>
        </w:rPr>
        <w:t>,</w:t>
      </w:r>
      <w:r w:rsidRPr="009A425F">
        <w:rPr>
          <w:rFonts w:ascii="Calibri" w:hAnsi="Calibri" w:cs="Calibri"/>
          <w:sz w:val="22"/>
          <w:szCs w:val="22"/>
        </w:rPr>
        <w:t xml:space="preserve"> </w:t>
      </w:r>
      <w:r w:rsidR="002D00F7">
        <w:rPr>
          <w:rFonts w:ascii="Calibri" w:hAnsi="Calibri" w:cs="Calibri"/>
          <w:sz w:val="22"/>
          <w:szCs w:val="22"/>
        </w:rPr>
        <w:t>22</w:t>
      </w:r>
      <w:r w:rsidRPr="009A425F">
        <w:rPr>
          <w:rFonts w:ascii="Calibri" w:hAnsi="Calibri" w:cs="Calibri"/>
          <w:sz w:val="22"/>
          <w:szCs w:val="22"/>
        </w:rPr>
        <w:t xml:space="preserve">. </w:t>
      </w:r>
      <w:r w:rsidR="002D00F7">
        <w:rPr>
          <w:rFonts w:ascii="Calibri" w:hAnsi="Calibri" w:cs="Calibri"/>
          <w:sz w:val="22"/>
          <w:szCs w:val="22"/>
        </w:rPr>
        <w:t>března 2012</w:t>
      </w:r>
    </w:p>
    <w:p w:rsidR="00DE2A78" w:rsidRDefault="00DE2A78" w:rsidP="008A66E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E22D31" w:rsidRPr="00AF6B81" w:rsidRDefault="00040726" w:rsidP="00040726">
      <w:pPr>
        <w:spacing w:line="276" w:lineRule="auto"/>
        <w:jc w:val="both"/>
        <w:rPr>
          <w:rFonts w:ascii="Tahoma" w:hAnsi="Tahoma" w:cs="Tahoma"/>
          <w:b/>
          <w:bCs/>
          <w:color w:val="1F497D"/>
          <w:sz w:val="22"/>
          <w:szCs w:val="22"/>
        </w:rPr>
      </w:pPr>
      <w:r>
        <w:rPr>
          <w:rFonts w:ascii="Tahoma" w:hAnsi="Tahoma" w:cs="Tahoma"/>
          <w:b/>
          <w:bCs/>
          <w:color w:val="254061"/>
          <w:sz w:val="22"/>
          <w:szCs w:val="22"/>
        </w:rPr>
        <w:t xml:space="preserve">Transparency International </w:t>
      </w:r>
      <w:r w:rsidR="003120FF">
        <w:rPr>
          <w:rFonts w:ascii="Tahoma" w:hAnsi="Tahoma" w:cs="Tahoma"/>
          <w:b/>
          <w:bCs/>
          <w:color w:val="254061"/>
          <w:sz w:val="22"/>
          <w:szCs w:val="22"/>
        </w:rPr>
        <w:t xml:space="preserve">připravila doporučení k novému zákonu o úřednících </w:t>
      </w:r>
    </w:p>
    <w:p w:rsidR="002318E5" w:rsidRDefault="002318E5" w:rsidP="00094992">
      <w:pPr>
        <w:pStyle w:val="Default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094992" w:rsidRPr="002318E5" w:rsidRDefault="00094992" w:rsidP="00094992">
      <w:pPr>
        <w:pStyle w:val="Default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2318E5">
        <w:rPr>
          <w:rFonts w:ascii="Calibri" w:hAnsi="Calibri" w:cs="Calibri"/>
          <w:b/>
          <w:i/>
          <w:sz w:val="22"/>
          <w:szCs w:val="22"/>
        </w:rPr>
        <w:t>„Nový zákon musí zejména zavést transparentní personální procesy ve státní správě</w:t>
      </w:r>
      <w:r w:rsidR="00D92124">
        <w:rPr>
          <w:rFonts w:ascii="Calibri" w:hAnsi="Calibri" w:cs="Calibri"/>
          <w:b/>
          <w:i/>
          <w:sz w:val="22"/>
          <w:szCs w:val="22"/>
        </w:rPr>
        <w:t>,</w:t>
      </w:r>
      <w:r w:rsidRPr="002318E5">
        <w:rPr>
          <w:rFonts w:ascii="Calibri" w:hAnsi="Calibri" w:cs="Calibri"/>
          <w:b/>
          <w:i/>
          <w:sz w:val="22"/>
          <w:szCs w:val="22"/>
        </w:rPr>
        <w:t xml:space="preserve">“ </w:t>
      </w:r>
      <w:r w:rsidRPr="002318E5">
        <w:rPr>
          <w:rFonts w:ascii="Calibri" w:hAnsi="Calibri" w:cs="Calibri"/>
          <w:b/>
          <w:sz w:val="22"/>
          <w:szCs w:val="22"/>
        </w:rPr>
        <w:t>říká Radim Bureš z Transparency International, „</w:t>
      </w:r>
      <w:r w:rsidRPr="002318E5">
        <w:rPr>
          <w:rFonts w:ascii="Calibri" w:hAnsi="Calibri" w:cs="Calibri"/>
          <w:b/>
          <w:i/>
          <w:sz w:val="22"/>
          <w:szCs w:val="22"/>
        </w:rPr>
        <w:t xml:space="preserve">není možné státní správu budovat na kamarádech </w:t>
      </w:r>
      <w:r w:rsidR="00D92124">
        <w:rPr>
          <w:rFonts w:ascii="Calibri" w:hAnsi="Calibri" w:cs="Calibri"/>
          <w:b/>
          <w:i/>
          <w:sz w:val="22"/>
          <w:szCs w:val="22"/>
        </w:rPr>
        <w:t>ministrů z politiky či byznysu.“</w:t>
      </w:r>
    </w:p>
    <w:p w:rsidR="00094992" w:rsidRDefault="00094992" w:rsidP="008A66E1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5659BA" w:rsidRDefault="004D0C2E" w:rsidP="002318E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659BA">
        <w:rPr>
          <w:rFonts w:ascii="Calibri" w:hAnsi="Calibri" w:cs="Calibri"/>
          <w:sz w:val="22"/>
          <w:szCs w:val="22"/>
        </w:rPr>
        <w:t>Fungování státní</w:t>
      </w:r>
      <w:r w:rsidR="00EA21A3" w:rsidRPr="005659BA">
        <w:rPr>
          <w:rFonts w:ascii="Calibri" w:hAnsi="Calibri" w:cs="Calibri"/>
          <w:sz w:val="22"/>
          <w:szCs w:val="22"/>
        </w:rPr>
        <w:t xml:space="preserve"> správy v České republice je opakovaně hodnocen</w:t>
      </w:r>
      <w:r w:rsidR="002318E5">
        <w:rPr>
          <w:rFonts w:ascii="Calibri" w:hAnsi="Calibri" w:cs="Calibri"/>
          <w:sz w:val="22"/>
          <w:szCs w:val="22"/>
        </w:rPr>
        <w:t>o</w:t>
      </w:r>
      <w:r w:rsidR="00EA21A3" w:rsidRPr="005659BA">
        <w:rPr>
          <w:rFonts w:ascii="Calibri" w:hAnsi="Calibri" w:cs="Calibri"/>
          <w:sz w:val="22"/>
          <w:szCs w:val="22"/>
        </w:rPr>
        <w:t xml:space="preserve"> jako neodborné, neefektivní, netransparentní</w:t>
      </w:r>
      <w:r w:rsidR="00AF6B81" w:rsidRPr="005659BA">
        <w:rPr>
          <w:rFonts w:ascii="Calibri" w:hAnsi="Calibri" w:cs="Calibri"/>
          <w:sz w:val="22"/>
          <w:szCs w:val="22"/>
        </w:rPr>
        <w:t xml:space="preserve"> a</w:t>
      </w:r>
      <w:r w:rsidR="00EA21A3" w:rsidRPr="005659BA">
        <w:rPr>
          <w:rFonts w:ascii="Calibri" w:hAnsi="Calibri" w:cs="Calibri"/>
          <w:sz w:val="22"/>
          <w:szCs w:val="22"/>
        </w:rPr>
        <w:t xml:space="preserve"> nekoordinované. </w:t>
      </w:r>
      <w:r w:rsidR="002318E5">
        <w:rPr>
          <w:rFonts w:ascii="Calibri" w:hAnsi="Calibri" w:cs="Calibri"/>
          <w:sz w:val="22"/>
          <w:szCs w:val="22"/>
        </w:rPr>
        <w:t>Z</w:t>
      </w:r>
      <w:r w:rsidR="002318E5" w:rsidRPr="005659BA">
        <w:rPr>
          <w:rFonts w:ascii="Calibri" w:hAnsi="Calibri" w:cs="Calibri"/>
          <w:sz w:val="22"/>
          <w:szCs w:val="22"/>
        </w:rPr>
        <w:t xml:space="preserve">áklad v nefunkčnosti státní správy </w:t>
      </w:r>
      <w:r w:rsidR="002318E5">
        <w:rPr>
          <w:rFonts w:ascii="Calibri" w:hAnsi="Calibri" w:cs="Calibri"/>
          <w:sz w:val="22"/>
          <w:szCs w:val="22"/>
        </w:rPr>
        <w:t>má i z</w:t>
      </w:r>
      <w:r w:rsidR="00EA21A3" w:rsidRPr="005659BA">
        <w:rPr>
          <w:rFonts w:ascii="Calibri" w:hAnsi="Calibri" w:cs="Calibri"/>
          <w:sz w:val="22"/>
          <w:szCs w:val="22"/>
        </w:rPr>
        <w:t>pochybňovaná schopnost ČR čerpat ze strukturálních fondů EU</w:t>
      </w:r>
      <w:r w:rsidR="002318E5">
        <w:rPr>
          <w:rFonts w:ascii="Calibri" w:hAnsi="Calibri" w:cs="Calibri"/>
          <w:sz w:val="22"/>
          <w:szCs w:val="22"/>
        </w:rPr>
        <w:t>, stejně jako</w:t>
      </w:r>
      <w:r w:rsidR="00EA21A3" w:rsidRPr="005659BA">
        <w:rPr>
          <w:rFonts w:ascii="Calibri" w:hAnsi="Calibri" w:cs="Calibri"/>
          <w:sz w:val="22"/>
          <w:szCs w:val="22"/>
        </w:rPr>
        <w:t xml:space="preserve"> častá neschopnost připravit funkční užitečné projekty.</w:t>
      </w:r>
      <w:r w:rsidR="007E5E6D" w:rsidRPr="005659BA">
        <w:rPr>
          <w:rFonts w:ascii="Calibri" w:hAnsi="Calibri" w:cs="Calibri"/>
          <w:sz w:val="22"/>
          <w:szCs w:val="22"/>
        </w:rPr>
        <w:t xml:space="preserve"> </w:t>
      </w:r>
      <w:r w:rsidR="005659BA" w:rsidRPr="005659BA">
        <w:rPr>
          <w:rFonts w:ascii="Calibri" w:hAnsi="Calibri" w:cs="Calibri"/>
          <w:sz w:val="22"/>
          <w:szCs w:val="22"/>
        </w:rPr>
        <w:t xml:space="preserve">Svůj podíl na </w:t>
      </w:r>
      <w:r w:rsidR="002318E5">
        <w:rPr>
          <w:rFonts w:ascii="Calibri" w:hAnsi="Calibri" w:cs="Calibri"/>
          <w:sz w:val="22"/>
          <w:szCs w:val="22"/>
        </w:rPr>
        <w:t>současném tristním stavu státní správy</w:t>
      </w:r>
      <w:r w:rsidR="005659BA" w:rsidRPr="005659BA">
        <w:rPr>
          <w:rFonts w:ascii="Calibri" w:hAnsi="Calibri" w:cs="Calibri"/>
          <w:sz w:val="22"/>
          <w:szCs w:val="22"/>
        </w:rPr>
        <w:t xml:space="preserve"> má neexistence zákonné úpravy postavení úředníků. </w:t>
      </w:r>
      <w:r w:rsidR="00EA21A3" w:rsidRPr="005659BA">
        <w:rPr>
          <w:rFonts w:ascii="Calibri" w:hAnsi="Calibri" w:cs="Calibri"/>
          <w:sz w:val="22"/>
          <w:szCs w:val="22"/>
        </w:rPr>
        <w:t>Česká republika jako v podstatě jediný stát EU nemá postavení státních úředníků upraven</w:t>
      </w:r>
      <w:r w:rsidR="002318E5">
        <w:rPr>
          <w:rFonts w:ascii="Calibri" w:hAnsi="Calibri" w:cs="Calibri"/>
          <w:sz w:val="22"/>
          <w:szCs w:val="22"/>
        </w:rPr>
        <w:t>o</w:t>
      </w:r>
      <w:r w:rsidR="00EA21A3" w:rsidRPr="005659BA">
        <w:rPr>
          <w:rFonts w:ascii="Calibri" w:hAnsi="Calibri" w:cs="Calibri"/>
          <w:sz w:val="22"/>
          <w:szCs w:val="22"/>
        </w:rPr>
        <w:t xml:space="preserve"> (právně účinným) zákonem</w:t>
      </w:r>
      <w:r w:rsidR="00AF6B81" w:rsidRPr="005659BA">
        <w:rPr>
          <w:rFonts w:ascii="Calibri" w:hAnsi="Calibri" w:cs="Calibri"/>
          <w:sz w:val="22"/>
          <w:szCs w:val="22"/>
        </w:rPr>
        <w:t xml:space="preserve">, </w:t>
      </w:r>
      <w:r w:rsidR="002577CA" w:rsidRPr="005659BA">
        <w:rPr>
          <w:rFonts w:ascii="Calibri" w:hAnsi="Calibri" w:cs="Calibri"/>
          <w:sz w:val="22"/>
          <w:szCs w:val="22"/>
        </w:rPr>
        <w:t>a</w:t>
      </w:r>
      <w:r w:rsidR="00EA21A3" w:rsidRPr="005659BA">
        <w:rPr>
          <w:rFonts w:ascii="Calibri" w:hAnsi="Calibri" w:cs="Calibri"/>
          <w:sz w:val="22"/>
          <w:szCs w:val="22"/>
        </w:rPr>
        <w:t xml:space="preserve"> porušuje </w:t>
      </w:r>
      <w:r w:rsidR="005659BA" w:rsidRPr="005659BA">
        <w:rPr>
          <w:rFonts w:ascii="Calibri" w:hAnsi="Calibri" w:cs="Calibri"/>
          <w:sz w:val="22"/>
          <w:szCs w:val="22"/>
        </w:rPr>
        <w:t xml:space="preserve">tím i </w:t>
      </w:r>
      <w:r w:rsidR="002318E5">
        <w:rPr>
          <w:rFonts w:ascii="Calibri" w:hAnsi="Calibri" w:cs="Calibri"/>
          <w:sz w:val="22"/>
          <w:szCs w:val="22"/>
        </w:rPr>
        <w:t>svoji ú</w:t>
      </w:r>
      <w:r w:rsidR="00EA21A3" w:rsidRPr="005659BA">
        <w:rPr>
          <w:rFonts w:ascii="Calibri" w:hAnsi="Calibri" w:cs="Calibri"/>
          <w:sz w:val="22"/>
          <w:szCs w:val="22"/>
        </w:rPr>
        <w:t>stavu.</w:t>
      </w:r>
      <w:r w:rsidR="007E5E6D" w:rsidRPr="007E5E6D">
        <w:rPr>
          <w:rFonts w:ascii="Calibri" w:hAnsi="Calibri" w:cs="Calibri"/>
          <w:b/>
          <w:sz w:val="22"/>
          <w:szCs w:val="22"/>
        </w:rPr>
        <w:t xml:space="preserve"> </w:t>
      </w:r>
      <w:r w:rsidR="007E5E6D" w:rsidRPr="005659BA">
        <w:rPr>
          <w:rFonts w:ascii="Calibri" w:hAnsi="Calibri" w:cs="Calibri"/>
          <w:sz w:val="22"/>
          <w:szCs w:val="22"/>
        </w:rPr>
        <w:t>P</w:t>
      </w:r>
      <w:r w:rsidR="002318E5">
        <w:rPr>
          <w:rFonts w:ascii="Calibri" w:hAnsi="Calibri" w:cs="Calibri"/>
          <w:sz w:val="22"/>
          <w:szCs w:val="22"/>
        </w:rPr>
        <w:t>řestože p</w:t>
      </w:r>
      <w:r w:rsidR="007E5E6D" w:rsidRPr="005659BA">
        <w:rPr>
          <w:rFonts w:ascii="Calibri" w:hAnsi="Calibri" w:cs="Calibri"/>
          <w:sz w:val="22"/>
          <w:szCs w:val="22"/>
        </w:rPr>
        <w:t>řijetí nového zákona pro možná až 150 tisíc úředníků není drobnou resortní normou</w:t>
      </w:r>
      <w:r w:rsidR="002318E5">
        <w:rPr>
          <w:rFonts w:ascii="Calibri" w:hAnsi="Calibri" w:cs="Calibri"/>
          <w:sz w:val="22"/>
          <w:szCs w:val="22"/>
        </w:rPr>
        <w:t>,</w:t>
      </w:r>
      <w:r w:rsidR="005659BA">
        <w:rPr>
          <w:rFonts w:ascii="Calibri" w:hAnsi="Calibri" w:cs="Calibri"/>
          <w:sz w:val="22"/>
          <w:szCs w:val="22"/>
        </w:rPr>
        <w:t xml:space="preserve"> </w:t>
      </w:r>
      <w:r w:rsidR="002318E5" w:rsidRPr="005659BA">
        <w:rPr>
          <w:rFonts w:ascii="Calibri" w:hAnsi="Calibri" w:cs="Calibri"/>
          <w:b/>
          <w:sz w:val="22"/>
          <w:szCs w:val="22"/>
        </w:rPr>
        <w:t xml:space="preserve">chybí </w:t>
      </w:r>
      <w:r w:rsidR="002318E5">
        <w:rPr>
          <w:rFonts w:ascii="Calibri" w:hAnsi="Calibri" w:cs="Calibri"/>
          <w:b/>
          <w:sz w:val="22"/>
          <w:szCs w:val="22"/>
        </w:rPr>
        <w:t>j</w:t>
      </w:r>
      <w:r w:rsidR="007E5E6D" w:rsidRPr="005659BA">
        <w:rPr>
          <w:rFonts w:ascii="Calibri" w:hAnsi="Calibri" w:cs="Calibri"/>
          <w:b/>
          <w:sz w:val="22"/>
          <w:szCs w:val="22"/>
        </w:rPr>
        <w:t xml:space="preserve">asné politické vedení </w:t>
      </w:r>
      <w:r w:rsidR="005659BA">
        <w:rPr>
          <w:rFonts w:ascii="Calibri" w:hAnsi="Calibri" w:cs="Calibri"/>
          <w:b/>
          <w:sz w:val="22"/>
          <w:szCs w:val="22"/>
        </w:rPr>
        <w:t>přípravy zákona</w:t>
      </w:r>
      <w:r w:rsidR="007E5E6D" w:rsidRPr="005659BA">
        <w:rPr>
          <w:rFonts w:ascii="Calibri" w:hAnsi="Calibri" w:cs="Calibri"/>
          <w:b/>
          <w:sz w:val="22"/>
          <w:szCs w:val="22"/>
        </w:rPr>
        <w:t>.</w:t>
      </w:r>
      <w:r w:rsidR="007E5E6D" w:rsidRPr="007E5E6D">
        <w:rPr>
          <w:rFonts w:ascii="Calibri" w:hAnsi="Calibri" w:cs="Calibri"/>
          <w:b/>
          <w:sz w:val="22"/>
          <w:szCs w:val="22"/>
        </w:rPr>
        <w:t xml:space="preserve"> </w:t>
      </w:r>
      <w:r w:rsidR="005659BA">
        <w:rPr>
          <w:rFonts w:ascii="Calibri" w:hAnsi="Calibri" w:cs="Calibri"/>
          <w:b/>
          <w:sz w:val="22"/>
          <w:szCs w:val="22"/>
        </w:rPr>
        <w:t>TIC pro vyzývá předsedu</w:t>
      </w:r>
      <w:r w:rsidR="005659BA" w:rsidRPr="007E5E6D">
        <w:rPr>
          <w:rFonts w:ascii="Calibri" w:hAnsi="Calibri" w:cs="Calibri"/>
          <w:b/>
          <w:sz w:val="22"/>
          <w:szCs w:val="22"/>
        </w:rPr>
        <w:t xml:space="preserve"> vlády</w:t>
      </w:r>
      <w:r w:rsidR="005659BA">
        <w:rPr>
          <w:rFonts w:ascii="Calibri" w:hAnsi="Calibri" w:cs="Calibri"/>
          <w:b/>
          <w:sz w:val="22"/>
          <w:szCs w:val="22"/>
        </w:rPr>
        <w:t xml:space="preserve"> k převzetí vedoucí role. </w:t>
      </w:r>
    </w:p>
    <w:p w:rsidR="005659BA" w:rsidRDefault="005659BA" w:rsidP="00CB1229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468B3" w:rsidRDefault="00EA21A3" w:rsidP="008A66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Vlád</w:t>
      </w:r>
      <w:r w:rsidR="007E5E6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nedávno </w:t>
      </w:r>
      <w:r w:rsidR="00CB1229">
        <w:rPr>
          <w:rFonts w:ascii="Calibri" w:hAnsi="Calibri" w:cs="Calibri"/>
          <w:sz w:val="22"/>
          <w:szCs w:val="22"/>
        </w:rPr>
        <w:t>přija</w:t>
      </w:r>
      <w:r w:rsidR="007E5E6D">
        <w:rPr>
          <w:rFonts w:ascii="Calibri" w:hAnsi="Calibri" w:cs="Calibri"/>
          <w:sz w:val="22"/>
          <w:szCs w:val="22"/>
        </w:rPr>
        <w:t xml:space="preserve">la </w:t>
      </w:r>
      <w:r w:rsidR="002318E5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Teze zákona o úřednících veřejné správy</w:t>
      </w:r>
      <w:r w:rsidR="002318E5">
        <w:rPr>
          <w:rFonts w:ascii="Calibri" w:hAnsi="Calibri" w:cs="Calibri"/>
          <w:sz w:val="22"/>
          <w:szCs w:val="22"/>
        </w:rPr>
        <w:t>“</w:t>
      </w:r>
      <w:r w:rsidR="007E5E6D">
        <w:rPr>
          <w:rFonts w:ascii="Calibri" w:hAnsi="Calibri" w:cs="Calibri"/>
          <w:sz w:val="22"/>
          <w:szCs w:val="22"/>
        </w:rPr>
        <w:t xml:space="preserve">, </w:t>
      </w:r>
      <w:r w:rsidR="00AF6B81">
        <w:rPr>
          <w:rFonts w:ascii="Calibri" w:hAnsi="Calibri" w:cs="Calibri"/>
          <w:sz w:val="22"/>
          <w:szCs w:val="22"/>
        </w:rPr>
        <w:t>ale nad paragrafo</w:t>
      </w:r>
      <w:r w:rsidR="002318E5">
        <w:rPr>
          <w:rFonts w:ascii="Calibri" w:hAnsi="Calibri" w:cs="Calibri"/>
          <w:sz w:val="22"/>
          <w:szCs w:val="22"/>
        </w:rPr>
        <w:t>v</w:t>
      </w:r>
      <w:r w:rsidR="00AF6B81">
        <w:rPr>
          <w:rFonts w:ascii="Calibri" w:hAnsi="Calibri" w:cs="Calibri"/>
          <w:sz w:val="22"/>
          <w:szCs w:val="22"/>
        </w:rPr>
        <w:t>ým zněním zákona</w:t>
      </w:r>
      <w:r w:rsidR="00AF6B81" w:rsidDel="00AF6B81">
        <w:rPr>
          <w:rFonts w:ascii="Calibri" w:hAnsi="Calibri" w:cs="Calibri"/>
          <w:sz w:val="22"/>
          <w:szCs w:val="22"/>
        </w:rPr>
        <w:t xml:space="preserve"> </w:t>
      </w:r>
      <w:r w:rsidR="002577CA">
        <w:rPr>
          <w:rFonts w:ascii="Calibri" w:hAnsi="Calibri" w:cs="Calibri"/>
          <w:sz w:val="22"/>
          <w:szCs w:val="22"/>
        </w:rPr>
        <w:t>vzniká akutní</w:t>
      </w:r>
      <w:r>
        <w:rPr>
          <w:rFonts w:ascii="Calibri" w:hAnsi="Calibri" w:cs="Calibri"/>
          <w:sz w:val="22"/>
          <w:szCs w:val="22"/>
        </w:rPr>
        <w:t xml:space="preserve"> potřeb</w:t>
      </w:r>
      <w:r w:rsidR="00AF6B81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otevřené odborné diskuse</w:t>
      </w:r>
      <w:r w:rsidR="007E5E6D">
        <w:rPr>
          <w:rFonts w:ascii="Calibri" w:hAnsi="Calibri" w:cs="Calibri"/>
          <w:sz w:val="22"/>
          <w:szCs w:val="22"/>
        </w:rPr>
        <w:t xml:space="preserve">. </w:t>
      </w:r>
      <w:r w:rsidR="007E5E6D" w:rsidRPr="002577CA">
        <w:rPr>
          <w:rFonts w:ascii="Calibri" w:hAnsi="Calibri" w:cs="Calibri"/>
          <w:b/>
          <w:sz w:val="22"/>
          <w:szCs w:val="22"/>
        </w:rPr>
        <w:t xml:space="preserve">Zákon musí být schopen </w:t>
      </w:r>
      <w:r w:rsidR="00CB1229" w:rsidRPr="002577CA">
        <w:rPr>
          <w:rFonts w:ascii="Calibri" w:hAnsi="Calibri" w:cs="Calibri"/>
          <w:b/>
          <w:sz w:val="22"/>
          <w:szCs w:val="22"/>
        </w:rPr>
        <w:t>naplni</w:t>
      </w:r>
      <w:r w:rsidR="007E5E6D" w:rsidRPr="002577CA">
        <w:rPr>
          <w:rFonts w:ascii="Calibri" w:hAnsi="Calibri" w:cs="Calibri"/>
          <w:b/>
          <w:sz w:val="22"/>
          <w:szCs w:val="22"/>
        </w:rPr>
        <w:t>t</w:t>
      </w:r>
      <w:r w:rsidR="00CB1229" w:rsidRPr="002577CA">
        <w:rPr>
          <w:rFonts w:ascii="Calibri" w:hAnsi="Calibri" w:cs="Calibri"/>
          <w:b/>
          <w:sz w:val="22"/>
          <w:szCs w:val="22"/>
        </w:rPr>
        <w:t xml:space="preserve"> </w:t>
      </w:r>
      <w:r w:rsidR="002577CA" w:rsidRPr="002577CA">
        <w:rPr>
          <w:rFonts w:ascii="Calibri" w:hAnsi="Calibri" w:cs="Calibri"/>
          <w:b/>
          <w:sz w:val="22"/>
          <w:szCs w:val="22"/>
        </w:rPr>
        <w:t xml:space="preserve">svůj </w:t>
      </w:r>
      <w:r w:rsidR="00CB1229" w:rsidRPr="002577CA">
        <w:rPr>
          <w:rFonts w:ascii="Calibri" w:hAnsi="Calibri" w:cs="Calibri"/>
          <w:b/>
          <w:sz w:val="22"/>
          <w:szCs w:val="22"/>
        </w:rPr>
        <w:t xml:space="preserve">cíl, tedy </w:t>
      </w:r>
      <w:r w:rsidR="002318E5">
        <w:rPr>
          <w:rFonts w:ascii="Calibri" w:hAnsi="Calibri" w:cs="Calibri"/>
          <w:b/>
          <w:sz w:val="22"/>
          <w:szCs w:val="22"/>
        </w:rPr>
        <w:t xml:space="preserve">vést k </w:t>
      </w:r>
      <w:r w:rsidR="00CB1229" w:rsidRPr="002577CA">
        <w:rPr>
          <w:rFonts w:ascii="Calibri" w:hAnsi="Calibri" w:cs="Calibri"/>
          <w:b/>
          <w:sz w:val="22"/>
          <w:szCs w:val="22"/>
        </w:rPr>
        <w:t>odpolitizování, profesionalizac</w:t>
      </w:r>
      <w:r w:rsidR="002318E5">
        <w:rPr>
          <w:rFonts w:ascii="Calibri" w:hAnsi="Calibri" w:cs="Calibri"/>
          <w:b/>
          <w:sz w:val="22"/>
          <w:szCs w:val="22"/>
        </w:rPr>
        <w:t>i</w:t>
      </w:r>
      <w:r w:rsidR="00CB1229" w:rsidRPr="002577CA">
        <w:rPr>
          <w:rFonts w:ascii="Calibri" w:hAnsi="Calibri" w:cs="Calibri"/>
          <w:b/>
          <w:sz w:val="22"/>
          <w:szCs w:val="22"/>
        </w:rPr>
        <w:t xml:space="preserve"> a stabilizac</w:t>
      </w:r>
      <w:r w:rsidR="002318E5">
        <w:rPr>
          <w:rFonts w:ascii="Calibri" w:hAnsi="Calibri" w:cs="Calibri"/>
          <w:b/>
          <w:sz w:val="22"/>
          <w:szCs w:val="22"/>
        </w:rPr>
        <w:t>i</w:t>
      </w:r>
      <w:r w:rsidR="00CB1229" w:rsidRPr="002577CA">
        <w:rPr>
          <w:rFonts w:ascii="Calibri" w:hAnsi="Calibri" w:cs="Calibri"/>
          <w:b/>
          <w:sz w:val="22"/>
          <w:szCs w:val="22"/>
        </w:rPr>
        <w:t xml:space="preserve"> veřejné správy</w:t>
      </w:r>
      <w:r w:rsidR="00AF6B81" w:rsidRPr="002577CA">
        <w:rPr>
          <w:rFonts w:ascii="Calibri" w:hAnsi="Calibri" w:cs="Calibri"/>
          <w:b/>
          <w:sz w:val="22"/>
          <w:szCs w:val="22"/>
        </w:rPr>
        <w:t>.</w:t>
      </w:r>
      <w:r w:rsidR="002318E5">
        <w:rPr>
          <w:rFonts w:ascii="Calibri" w:hAnsi="Calibri" w:cs="Calibri"/>
          <w:b/>
          <w:sz w:val="22"/>
          <w:szCs w:val="22"/>
        </w:rPr>
        <w:t xml:space="preserve"> </w:t>
      </w:r>
      <w:r w:rsidR="002318E5" w:rsidRPr="002318E5">
        <w:rPr>
          <w:rFonts w:ascii="Calibri" w:hAnsi="Calibri" w:cs="Calibri"/>
          <w:sz w:val="22"/>
          <w:szCs w:val="22"/>
        </w:rPr>
        <w:t>Přitom s</w:t>
      </w:r>
      <w:r w:rsidR="0053438E" w:rsidRPr="002318E5">
        <w:rPr>
          <w:rFonts w:ascii="Calibri" w:hAnsi="Calibri" w:cs="Calibri"/>
          <w:sz w:val="22"/>
          <w:szCs w:val="22"/>
        </w:rPr>
        <w:t>amotný</w:t>
      </w:r>
      <w:r w:rsidR="0053438E">
        <w:rPr>
          <w:rFonts w:ascii="Calibri" w:hAnsi="Calibri" w:cs="Calibri"/>
          <w:sz w:val="22"/>
          <w:szCs w:val="22"/>
        </w:rPr>
        <w:t xml:space="preserve"> zákon o úřednících nestačí, musí být doprovázen vytvoře</w:t>
      </w:r>
      <w:r w:rsidR="002318E5">
        <w:rPr>
          <w:rFonts w:ascii="Calibri" w:hAnsi="Calibri" w:cs="Calibri"/>
          <w:sz w:val="22"/>
          <w:szCs w:val="22"/>
        </w:rPr>
        <w:t>ním organizační struktury, která</w:t>
      </w:r>
      <w:r w:rsidR="0053438E">
        <w:rPr>
          <w:rFonts w:ascii="Calibri" w:hAnsi="Calibri" w:cs="Calibri"/>
          <w:sz w:val="22"/>
          <w:szCs w:val="22"/>
        </w:rPr>
        <w:t xml:space="preserve"> zaručí naplňování zákona.</w:t>
      </w:r>
      <w:r w:rsidR="00CB3086">
        <w:rPr>
          <w:rFonts w:ascii="Calibri" w:hAnsi="Calibri" w:cs="Calibri"/>
          <w:sz w:val="22"/>
          <w:szCs w:val="22"/>
        </w:rPr>
        <w:t xml:space="preserve"> </w:t>
      </w:r>
      <w:r w:rsidR="00CB3086" w:rsidRPr="002318E5">
        <w:rPr>
          <w:rFonts w:ascii="Calibri" w:hAnsi="Calibri" w:cs="Calibri"/>
          <w:sz w:val="22"/>
          <w:szCs w:val="22"/>
        </w:rPr>
        <w:t>„</w:t>
      </w:r>
      <w:r w:rsidR="00CB3086" w:rsidRPr="002318E5">
        <w:rPr>
          <w:rFonts w:ascii="Calibri" w:hAnsi="Calibri" w:cs="Calibri"/>
          <w:i/>
          <w:sz w:val="22"/>
          <w:szCs w:val="22"/>
        </w:rPr>
        <w:t xml:space="preserve">Respektování profesionální a politické nezávislosti </w:t>
      </w:r>
      <w:r w:rsidR="005659BA" w:rsidRPr="002318E5">
        <w:rPr>
          <w:rFonts w:ascii="Calibri" w:hAnsi="Calibri" w:cs="Calibri"/>
          <w:i/>
          <w:sz w:val="22"/>
          <w:szCs w:val="22"/>
        </w:rPr>
        <w:t xml:space="preserve">úředníků </w:t>
      </w:r>
      <w:r w:rsidR="00CB3086" w:rsidRPr="002318E5">
        <w:rPr>
          <w:rFonts w:ascii="Calibri" w:hAnsi="Calibri" w:cs="Calibri"/>
          <w:i/>
          <w:sz w:val="22"/>
          <w:szCs w:val="22"/>
        </w:rPr>
        <w:t>by měl garantovat ředitel úřadu</w:t>
      </w:r>
      <w:r w:rsidR="002318E5" w:rsidRPr="002318E5">
        <w:rPr>
          <w:rFonts w:ascii="Calibri" w:hAnsi="Calibri" w:cs="Calibri"/>
          <w:i/>
          <w:sz w:val="22"/>
          <w:szCs w:val="22"/>
        </w:rPr>
        <w:t>, soudní ochrana je příliš zdlouhavá,</w:t>
      </w:r>
      <w:r w:rsidR="002318E5" w:rsidRPr="002318E5">
        <w:rPr>
          <w:rFonts w:ascii="Calibri" w:hAnsi="Calibri" w:cs="Calibri"/>
          <w:sz w:val="22"/>
          <w:szCs w:val="22"/>
        </w:rPr>
        <w:t>“</w:t>
      </w:r>
      <w:r w:rsidR="00CB3086" w:rsidRPr="002318E5">
        <w:rPr>
          <w:rFonts w:ascii="Calibri" w:hAnsi="Calibri" w:cs="Calibri"/>
          <w:sz w:val="22"/>
          <w:szCs w:val="22"/>
        </w:rPr>
        <w:t xml:space="preserve"> </w:t>
      </w:r>
      <w:r w:rsidR="00D92124">
        <w:rPr>
          <w:rFonts w:ascii="Calibri" w:hAnsi="Calibri" w:cs="Calibri"/>
          <w:sz w:val="22"/>
          <w:szCs w:val="22"/>
        </w:rPr>
        <w:t>argumentuje</w:t>
      </w:r>
      <w:r w:rsidR="00CB3086" w:rsidRPr="002318E5">
        <w:rPr>
          <w:rFonts w:ascii="Calibri" w:hAnsi="Calibri" w:cs="Calibri"/>
          <w:sz w:val="22"/>
          <w:szCs w:val="22"/>
        </w:rPr>
        <w:t xml:space="preserve"> Radim Bureš</w:t>
      </w:r>
      <w:r w:rsidR="002318E5" w:rsidRPr="002318E5">
        <w:rPr>
          <w:rFonts w:ascii="Calibri" w:hAnsi="Calibri" w:cs="Calibri"/>
          <w:sz w:val="22"/>
          <w:szCs w:val="22"/>
        </w:rPr>
        <w:t>.</w:t>
      </w:r>
    </w:p>
    <w:p w:rsidR="00CB3086" w:rsidRDefault="00CB3086" w:rsidP="008A66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05D79" w:rsidRPr="005659BA" w:rsidRDefault="00CB3086" w:rsidP="00D05D79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E5E6D">
        <w:rPr>
          <w:rFonts w:ascii="Calibri" w:hAnsi="Calibri" w:cs="Calibri"/>
          <w:b/>
          <w:sz w:val="22"/>
          <w:szCs w:val="22"/>
        </w:rPr>
        <w:t xml:space="preserve">Klíčovou složkou modernizace státní </w:t>
      </w:r>
      <w:r w:rsidR="00D05D79" w:rsidRPr="007E5E6D">
        <w:rPr>
          <w:rFonts w:ascii="Calibri" w:hAnsi="Calibri" w:cs="Calibri"/>
          <w:b/>
          <w:sz w:val="22"/>
          <w:szCs w:val="22"/>
        </w:rPr>
        <w:t>správy je</w:t>
      </w:r>
      <w:r w:rsidRPr="007E5E6D">
        <w:rPr>
          <w:rFonts w:ascii="Calibri" w:hAnsi="Calibri" w:cs="Calibri"/>
          <w:b/>
          <w:sz w:val="22"/>
          <w:szCs w:val="22"/>
        </w:rPr>
        <w:t xml:space="preserve"> jiná forma odměňování státních úředníků.</w:t>
      </w:r>
      <w:r>
        <w:rPr>
          <w:rFonts w:ascii="Calibri" w:hAnsi="Calibri" w:cs="Calibri"/>
          <w:sz w:val="22"/>
          <w:szCs w:val="22"/>
        </w:rPr>
        <w:t xml:space="preserve"> </w:t>
      </w:r>
      <w:r w:rsidR="00D05D79" w:rsidRPr="005659BA">
        <w:rPr>
          <w:rFonts w:ascii="Calibri" w:hAnsi="Calibri" w:cs="Calibri"/>
          <w:sz w:val="22"/>
          <w:szCs w:val="22"/>
        </w:rPr>
        <w:t xml:space="preserve">Po úřednících se požaduje profesionalita, apolitičnost a loajalita ke státu. </w:t>
      </w:r>
      <w:r w:rsidR="005659BA" w:rsidRPr="002318E5">
        <w:rPr>
          <w:rFonts w:ascii="Calibri" w:hAnsi="Calibri" w:cs="Calibri"/>
          <w:sz w:val="22"/>
          <w:szCs w:val="22"/>
        </w:rPr>
        <w:t>„</w:t>
      </w:r>
      <w:r w:rsidR="00D05D79" w:rsidRPr="002318E5">
        <w:rPr>
          <w:rFonts w:ascii="Calibri" w:hAnsi="Calibri" w:cs="Calibri"/>
          <w:i/>
          <w:sz w:val="22"/>
          <w:szCs w:val="22"/>
        </w:rPr>
        <w:t xml:space="preserve">Když </w:t>
      </w:r>
      <w:r w:rsidR="007E5E6D" w:rsidRPr="002318E5">
        <w:rPr>
          <w:rFonts w:ascii="Calibri" w:hAnsi="Calibri" w:cs="Calibri"/>
          <w:i/>
          <w:sz w:val="22"/>
          <w:szCs w:val="22"/>
        </w:rPr>
        <w:t>však</w:t>
      </w:r>
      <w:r w:rsidR="00D05D79" w:rsidRPr="002318E5">
        <w:rPr>
          <w:rFonts w:ascii="Calibri" w:hAnsi="Calibri" w:cs="Calibri"/>
          <w:i/>
          <w:sz w:val="22"/>
          <w:szCs w:val="22"/>
        </w:rPr>
        <w:t xml:space="preserve"> můžet</w:t>
      </w:r>
      <w:r w:rsidR="00893E77">
        <w:rPr>
          <w:rFonts w:ascii="Calibri" w:hAnsi="Calibri" w:cs="Calibri"/>
          <w:i/>
          <w:sz w:val="22"/>
          <w:szCs w:val="22"/>
        </w:rPr>
        <w:t>e ze dne na den přijít např. o 5</w:t>
      </w:r>
      <w:r w:rsidR="00D05D79" w:rsidRPr="002318E5">
        <w:rPr>
          <w:rFonts w:ascii="Calibri" w:hAnsi="Calibri" w:cs="Calibri"/>
          <w:i/>
          <w:sz w:val="22"/>
          <w:szCs w:val="22"/>
        </w:rPr>
        <w:t>0</w:t>
      </w:r>
      <w:r w:rsidR="00D92124">
        <w:rPr>
          <w:rFonts w:ascii="Calibri" w:hAnsi="Calibri" w:cs="Calibri"/>
          <w:i/>
          <w:sz w:val="22"/>
          <w:szCs w:val="22"/>
        </w:rPr>
        <w:t xml:space="preserve"> – </w:t>
      </w:r>
      <w:r w:rsidR="00893E77">
        <w:rPr>
          <w:rFonts w:ascii="Calibri" w:hAnsi="Calibri" w:cs="Calibri"/>
          <w:i/>
          <w:sz w:val="22"/>
          <w:szCs w:val="22"/>
        </w:rPr>
        <w:t>7</w:t>
      </w:r>
      <w:bookmarkStart w:id="0" w:name="_GoBack"/>
      <w:bookmarkEnd w:id="0"/>
      <w:r w:rsidR="00D92124">
        <w:rPr>
          <w:rFonts w:ascii="Calibri" w:hAnsi="Calibri" w:cs="Calibri"/>
          <w:i/>
          <w:sz w:val="22"/>
          <w:szCs w:val="22"/>
        </w:rPr>
        <w:t>0 procent</w:t>
      </w:r>
      <w:r w:rsidR="00D05D79" w:rsidRPr="002318E5">
        <w:rPr>
          <w:rFonts w:ascii="Calibri" w:hAnsi="Calibri" w:cs="Calibri"/>
          <w:i/>
          <w:sz w:val="22"/>
          <w:szCs w:val="22"/>
        </w:rPr>
        <w:t xml:space="preserve"> platu jen na základě subjektivního rozhodnutí nadřízeného, pak dostává přednost loajalita vůči nadřízeným a profesionalita i apolitičnost strád</w:t>
      </w:r>
      <w:r w:rsidR="002318E5">
        <w:rPr>
          <w:rFonts w:ascii="Calibri" w:hAnsi="Calibri" w:cs="Calibri"/>
          <w:i/>
          <w:sz w:val="22"/>
          <w:szCs w:val="22"/>
        </w:rPr>
        <w:t>ají,</w:t>
      </w:r>
      <w:r w:rsidR="00D05D79" w:rsidRPr="002318E5">
        <w:rPr>
          <w:rFonts w:ascii="Calibri" w:hAnsi="Calibri" w:cs="Calibri"/>
          <w:sz w:val="22"/>
          <w:szCs w:val="22"/>
        </w:rPr>
        <w:t xml:space="preserve">“ </w:t>
      </w:r>
      <w:r w:rsidR="005659BA" w:rsidRPr="002318E5">
        <w:rPr>
          <w:rFonts w:ascii="Calibri" w:hAnsi="Calibri" w:cs="Calibri"/>
          <w:sz w:val="22"/>
          <w:szCs w:val="22"/>
        </w:rPr>
        <w:t>říká</w:t>
      </w:r>
      <w:r w:rsidR="005659BA">
        <w:rPr>
          <w:rFonts w:ascii="Calibri" w:hAnsi="Calibri" w:cs="Calibri"/>
          <w:sz w:val="22"/>
          <w:szCs w:val="22"/>
        </w:rPr>
        <w:t xml:space="preserve"> Radim Bureš.</w:t>
      </w:r>
      <w:r w:rsidR="00D05D79">
        <w:rPr>
          <w:rFonts w:ascii="Calibri" w:hAnsi="Calibri" w:cs="Calibri"/>
          <w:sz w:val="22"/>
          <w:szCs w:val="22"/>
        </w:rPr>
        <w:t xml:space="preserve"> </w:t>
      </w:r>
      <w:r w:rsidR="005659BA" w:rsidRPr="005659BA">
        <w:rPr>
          <w:rFonts w:ascii="Calibri" w:hAnsi="Calibri" w:cs="Calibri"/>
          <w:b/>
          <w:sz w:val="22"/>
          <w:szCs w:val="22"/>
        </w:rPr>
        <w:t>TIC doporučuje omezit</w:t>
      </w:r>
      <w:r w:rsidR="00D05D79" w:rsidRPr="005659BA">
        <w:rPr>
          <w:rFonts w:ascii="Calibri" w:hAnsi="Calibri" w:cs="Calibri"/>
          <w:b/>
          <w:sz w:val="22"/>
          <w:szCs w:val="22"/>
        </w:rPr>
        <w:t xml:space="preserve"> nenárokovou složku (osobní ohodnocení a odměny) na část, nikoli násobek složky nárokové. </w:t>
      </w:r>
      <w:r w:rsidR="005659BA" w:rsidRPr="00D92124">
        <w:rPr>
          <w:rFonts w:ascii="Calibri" w:hAnsi="Calibri" w:cs="Calibri"/>
          <w:sz w:val="22"/>
          <w:szCs w:val="22"/>
        </w:rPr>
        <w:t xml:space="preserve">Nenároková složka by neměla přesahovat </w:t>
      </w:r>
      <w:r w:rsidR="00D05D79" w:rsidRPr="00D92124">
        <w:rPr>
          <w:rFonts w:ascii="Calibri" w:hAnsi="Calibri" w:cs="Calibri"/>
          <w:sz w:val="22"/>
          <w:szCs w:val="22"/>
        </w:rPr>
        <w:t>30</w:t>
      </w:r>
      <w:r w:rsidR="002318E5" w:rsidRPr="00D92124">
        <w:rPr>
          <w:rFonts w:ascii="Calibri" w:hAnsi="Calibri" w:cs="Calibri"/>
          <w:sz w:val="22"/>
          <w:szCs w:val="22"/>
        </w:rPr>
        <w:t xml:space="preserve"> </w:t>
      </w:r>
      <w:r w:rsidR="00D92124" w:rsidRPr="00D92124">
        <w:rPr>
          <w:rFonts w:ascii="Calibri" w:hAnsi="Calibri" w:cs="Calibri"/>
          <w:sz w:val="22"/>
          <w:szCs w:val="22"/>
        </w:rPr>
        <w:t>procent</w:t>
      </w:r>
      <w:r w:rsidR="00D05D79" w:rsidRPr="00D92124">
        <w:rPr>
          <w:rFonts w:ascii="Calibri" w:hAnsi="Calibri" w:cs="Calibri"/>
          <w:sz w:val="22"/>
          <w:szCs w:val="22"/>
        </w:rPr>
        <w:t xml:space="preserve"> tabulkového platu</w:t>
      </w:r>
      <w:r w:rsidR="002318E5" w:rsidRPr="00D92124">
        <w:rPr>
          <w:rFonts w:ascii="Calibri" w:hAnsi="Calibri" w:cs="Calibri"/>
          <w:sz w:val="22"/>
          <w:szCs w:val="22"/>
        </w:rPr>
        <w:t>.</w:t>
      </w:r>
    </w:p>
    <w:p w:rsidR="00D05D79" w:rsidRDefault="00D05D79" w:rsidP="008A66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92124" w:rsidRPr="007025F9" w:rsidRDefault="004D0C2E" w:rsidP="00094992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025F9">
        <w:rPr>
          <w:rFonts w:ascii="Calibri" w:hAnsi="Calibri" w:cs="Calibri"/>
          <w:b/>
          <w:color w:val="000000"/>
          <w:sz w:val="22"/>
          <w:szCs w:val="22"/>
        </w:rPr>
        <w:t>Kvalita státní správy úzce souvisí i se současnými potížemi při vyu</w:t>
      </w:r>
      <w:r w:rsidR="002318E5" w:rsidRPr="007025F9">
        <w:rPr>
          <w:rFonts w:ascii="Calibri" w:hAnsi="Calibri" w:cs="Calibri"/>
          <w:b/>
          <w:color w:val="000000"/>
          <w:sz w:val="22"/>
          <w:szCs w:val="22"/>
        </w:rPr>
        <w:t>žívání strukturálních fondů EU</w:t>
      </w:r>
      <w:r w:rsidR="007025F9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094992" w:rsidRDefault="00094992" w:rsidP="008A66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D0C2E" w:rsidRPr="002318E5" w:rsidRDefault="004D0C2E" w:rsidP="008A66E1">
      <w:pPr>
        <w:pStyle w:val="Default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4D0C2E">
        <w:rPr>
          <w:rFonts w:ascii="Calibri" w:hAnsi="Calibri" w:cs="Calibri"/>
          <w:sz w:val="22"/>
          <w:szCs w:val="22"/>
        </w:rPr>
        <w:t xml:space="preserve">Nové programovací období je příležitostí pro </w:t>
      </w:r>
      <w:r>
        <w:rPr>
          <w:rFonts w:ascii="Calibri" w:hAnsi="Calibri" w:cs="Calibri"/>
          <w:sz w:val="22"/>
          <w:szCs w:val="22"/>
        </w:rPr>
        <w:t xml:space="preserve">vytvoření implementační struktury, která bude </w:t>
      </w:r>
      <w:r w:rsidR="00AF6B81">
        <w:rPr>
          <w:rFonts w:ascii="Calibri" w:hAnsi="Calibri" w:cs="Calibri"/>
          <w:sz w:val="22"/>
          <w:szCs w:val="22"/>
        </w:rPr>
        <w:t xml:space="preserve">efektivnější, přehlednější </w:t>
      </w:r>
      <w:r w:rsidR="007E5E6D">
        <w:rPr>
          <w:rFonts w:ascii="Calibri" w:hAnsi="Calibri" w:cs="Calibri"/>
          <w:sz w:val="22"/>
          <w:szCs w:val="22"/>
        </w:rPr>
        <w:t xml:space="preserve">a bude lépe </w:t>
      </w:r>
      <w:r w:rsidR="00AF6B81">
        <w:rPr>
          <w:rFonts w:ascii="Calibri" w:hAnsi="Calibri" w:cs="Calibri"/>
          <w:sz w:val="22"/>
          <w:szCs w:val="22"/>
        </w:rPr>
        <w:t>schopn</w:t>
      </w:r>
      <w:r w:rsidR="002318E5">
        <w:rPr>
          <w:rFonts w:ascii="Calibri" w:hAnsi="Calibri" w:cs="Calibri"/>
          <w:sz w:val="22"/>
          <w:szCs w:val="22"/>
        </w:rPr>
        <w:t>a</w:t>
      </w:r>
      <w:r w:rsidR="00AF6B81">
        <w:rPr>
          <w:rFonts w:ascii="Calibri" w:hAnsi="Calibri" w:cs="Calibri"/>
          <w:sz w:val="22"/>
          <w:szCs w:val="22"/>
        </w:rPr>
        <w:t xml:space="preserve"> </w:t>
      </w:r>
      <w:r w:rsidR="007E5E6D">
        <w:rPr>
          <w:rFonts w:ascii="Calibri" w:hAnsi="Calibri" w:cs="Calibri"/>
          <w:sz w:val="22"/>
          <w:szCs w:val="22"/>
        </w:rPr>
        <w:t>předcházet podvodům a manipulacím</w:t>
      </w:r>
      <w:r w:rsidR="002318E5">
        <w:rPr>
          <w:rFonts w:ascii="Calibri" w:hAnsi="Calibri" w:cs="Calibri"/>
          <w:sz w:val="22"/>
          <w:szCs w:val="22"/>
        </w:rPr>
        <w:t xml:space="preserve"> s evropskými</w:t>
      </w:r>
      <w:r w:rsidR="00AF6B81">
        <w:rPr>
          <w:rFonts w:ascii="Calibri" w:hAnsi="Calibri" w:cs="Calibri"/>
          <w:sz w:val="22"/>
          <w:szCs w:val="22"/>
        </w:rPr>
        <w:t xml:space="preserve"> fondy</w:t>
      </w:r>
      <w:r w:rsidR="007E5E6D">
        <w:rPr>
          <w:rFonts w:ascii="Calibri" w:hAnsi="Calibri" w:cs="Calibri"/>
          <w:sz w:val="22"/>
          <w:szCs w:val="22"/>
        </w:rPr>
        <w:t xml:space="preserve">. </w:t>
      </w:r>
      <w:r w:rsidR="005659BA" w:rsidRPr="00472E98">
        <w:rPr>
          <w:rFonts w:ascii="Calibri" w:hAnsi="Calibri" w:cs="Calibri"/>
          <w:sz w:val="22"/>
          <w:szCs w:val="22"/>
        </w:rPr>
        <w:t xml:space="preserve">TIC volá po jasných prioritách operačních programů pro příští období a </w:t>
      </w:r>
      <w:r w:rsidR="002318E5">
        <w:rPr>
          <w:rFonts w:ascii="Calibri" w:hAnsi="Calibri" w:cs="Calibri"/>
          <w:sz w:val="22"/>
          <w:szCs w:val="22"/>
        </w:rPr>
        <w:t xml:space="preserve">požaduje </w:t>
      </w:r>
      <w:r w:rsidR="005659BA" w:rsidRPr="00472E98">
        <w:rPr>
          <w:rFonts w:ascii="Calibri" w:hAnsi="Calibri" w:cs="Calibri"/>
          <w:sz w:val="22"/>
          <w:szCs w:val="22"/>
        </w:rPr>
        <w:t>zrušení regionálních operačních programů</w:t>
      </w:r>
      <w:r w:rsidR="005659BA" w:rsidRPr="002318E5">
        <w:rPr>
          <w:rFonts w:ascii="Calibri" w:hAnsi="Calibri" w:cs="Calibri"/>
          <w:sz w:val="22"/>
          <w:szCs w:val="22"/>
        </w:rPr>
        <w:t xml:space="preserve">. </w:t>
      </w:r>
      <w:r w:rsidR="005659BA" w:rsidRPr="002318E5">
        <w:rPr>
          <w:rFonts w:ascii="Calibri" w:hAnsi="Calibri" w:cs="Calibri"/>
          <w:i/>
          <w:sz w:val="22"/>
          <w:szCs w:val="22"/>
        </w:rPr>
        <w:t xml:space="preserve"> </w:t>
      </w:r>
      <w:r w:rsidRPr="002318E5">
        <w:rPr>
          <w:rFonts w:ascii="Calibri" w:hAnsi="Calibri" w:cs="Calibri"/>
          <w:i/>
          <w:sz w:val="22"/>
          <w:szCs w:val="22"/>
        </w:rPr>
        <w:t>„V rozdrobeném systému resortních a krajských 24 operačních programů není možné pokračovat“</w:t>
      </w:r>
      <w:r w:rsidRPr="002318E5">
        <w:rPr>
          <w:rFonts w:ascii="Calibri" w:hAnsi="Calibri" w:cs="Calibri"/>
          <w:sz w:val="22"/>
          <w:szCs w:val="22"/>
        </w:rPr>
        <w:t>, říká David Ondráčka, ředitel Transparency International, „</w:t>
      </w:r>
      <w:r w:rsidRPr="002318E5">
        <w:rPr>
          <w:rFonts w:ascii="Calibri" w:hAnsi="Calibri" w:cs="Calibri"/>
          <w:i/>
          <w:sz w:val="22"/>
          <w:szCs w:val="22"/>
        </w:rPr>
        <w:t>nové programovací období musí být založeno na několika málo průřezových klíčových tématech</w:t>
      </w:r>
      <w:r w:rsidR="007E5E6D" w:rsidRPr="002318E5">
        <w:rPr>
          <w:rFonts w:ascii="Calibri" w:hAnsi="Calibri" w:cs="Calibri"/>
          <w:i/>
          <w:sz w:val="22"/>
          <w:szCs w:val="22"/>
        </w:rPr>
        <w:t xml:space="preserve"> </w:t>
      </w:r>
      <w:r w:rsidR="00AF6B81" w:rsidRPr="002318E5">
        <w:rPr>
          <w:rFonts w:ascii="Calibri" w:hAnsi="Calibri" w:cs="Calibri"/>
          <w:i/>
          <w:sz w:val="22"/>
          <w:szCs w:val="22"/>
        </w:rPr>
        <w:t>koordinovaných centrálně</w:t>
      </w:r>
      <w:r w:rsidR="00D92124">
        <w:rPr>
          <w:rFonts w:ascii="Calibri" w:hAnsi="Calibri" w:cs="Calibri"/>
          <w:i/>
          <w:sz w:val="22"/>
          <w:szCs w:val="22"/>
        </w:rPr>
        <w:t xml:space="preserve">. </w:t>
      </w:r>
      <w:r w:rsidR="002318E5">
        <w:rPr>
          <w:rFonts w:ascii="Calibri" w:hAnsi="Calibri" w:cs="Calibri"/>
          <w:i/>
          <w:sz w:val="22"/>
          <w:szCs w:val="22"/>
        </w:rPr>
        <w:t>Regionální operační</w:t>
      </w:r>
      <w:r w:rsidR="007E5E6D" w:rsidRPr="002318E5">
        <w:rPr>
          <w:rFonts w:ascii="Calibri" w:hAnsi="Calibri" w:cs="Calibri"/>
          <w:i/>
          <w:sz w:val="22"/>
          <w:szCs w:val="22"/>
        </w:rPr>
        <w:t xml:space="preserve"> program</w:t>
      </w:r>
      <w:r w:rsidR="002318E5">
        <w:rPr>
          <w:rFonts w:ascii="Calibri" w:hAnsi="Calibri" w:cs="Calibri"/>
          <w:i/>
          <w:sz w:val="22"/>
          <w:szCs w:val="22"/>
        </w:rPr>
        <w:t>y</w:t>
      </w:r>
      <w:r w:rsidR="007E5E6D" w:rsidRPr="002318E5">
        <w:rPr>
          <w:rFonts w:ascii="Calibri" w:hAnsi="Calibri" w:cs="Calibri"/>
          <w:i/>
          <w:sz w:val="22"/>
          <w:szCs w:val="22"/>
        </w:rPr>
        <w:t xml:space="preserve"> (ROP)</w:t>
      </w:r>
      <w:r w:rsidR="002318E5">
        <w:rPr>
          <w:rFonts w:ascii="Calibri" w:hAnsi="Calibri" w:cs="Calibri"/>
          <w:i/>
          <w:sz w:val="22"/>
          <w:szCs w:val="22"/>
        </w:rPr>
        <w:t xml:space="preserve"> musí být zrušeny a nahrazeny centrálně koordinovanými programy zaměřenými na jednotlivá témata.</w:t>
      </w:r>
      <w:r w:rsidRPr="002318E5">
        <w:rPr>
          <w:rFonts w:ascii="Calibri" w:hAnsi="Calibri" w:cs="Calibri"/>
          <w:i/>
          <w:sz w:val="22"/>
          <w:szCs w:val="22"/>
        </w:rPr>
        <w:t>“</w:t>
      </w:r>
    </w:p>
    <w:p w:rsidR="008A66E1" w:rsidRPr="009A425F" w:rsidRDefault="008A66E1" w:rsidP="008A66E1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AF6B81" w:rsidRDefault="00AF6B81" w:rsidP="008A66E1">
      <w:pPr>
        <w:pStyle w:val="Default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2577CA" w:rsidRDefault="002577CA" w:rsidP="008A66E1">
      <w:pPr>
        <w:pStyle w:val="Default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AF6B81" w:rsidRDefault="00AF6B81" w:rsidP="008A66E1">
      <w:pPr>
        <w:pStyle w:val="Default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lastRenderedPageBreak/>
        <w:t>Příloha: Teze TIC k transparentní a nezávislé státní správě</w:t>
      </w:r>
      <w:r w:rsidR="002577CA">
        <w:rPr>
          <w:rFonts w:ascii="Calibri" w:hAnsi="Calibri" w:cs="Calibri"/>
          <w:b/>
          <w:sz w:val="22"/>
          <w:szCs w:val="22"/>
          <w:u w:val="single"/>
        </w:rPr>
        <w:t xml:space="preserve"> a zákonu o úřednících</w:t>
      </w:r>
    </w:p>
    <w:p w:rsidR="00AF6B81" w:rsidRDefault="00AF6B81" w:rsidP="008A66E1">
      <w:pPr>
        <w:pStyle w:val="Default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2577CA" w:rsidRDefault="002577CA" w:rsidP="008A66E1">
      <w:pPr>
        <w:pStyle w:val="Default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D0AF6" w:rsidRPr="009A425F" w:rsidRDefault="00ED0AF6" w:rsidP="008A66E1">
      <w:pPr>
        <w:pStyle w:val="Defaul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A425F">
        <w:rPr>
          <w:rFonts w:ascii="Calibri" w:hAnsi="Calibri" w:cs="Calibri"/>
          <w:b/>
          <w:sz w:val="22"/>
          <w:szCs w:val="22"/>
          <w:u w:val="single"/>
        </w:rPr>
        <w:t xml:space="preserve">Kontakt pro média: </w:t>
      </w:r>
    </w:p>
    <w:p w:rsidR="00A57A3C" w:rsidRPr="009A425F" w:rsidRDefault="00A57A3C" w:rsidP="008A66E1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:rsidR="00ED0AF6" w:rsidRPr="009A425F" w:rsidRDefault="00ED0AF6" w:rsidP="008A66E1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 w:rsidRPr="009A425F">
        <w:rPr>
          <w:rFonts w:ascii="Calibri" w:hAnsi="Calibri" w:cs="Calibri"/>
          <w:i/>
          <w:sz w:val="22"/>
          <w:szCs w:val="22"/>
        </w:rPr>
        <w:t>Radim Bureš, Transparency International - Česká republika</w:t>
      </w:r>
    </w:p>
    <w:p w:rsidR="00ED0AF6" w:rsidRPr="009A425F" w:rsidRDefault="00ED0AF6" w:rsidP="008A66E1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 w:rsidRPr="009A425F">
        <w:rPr>
          <w:rFonts w:ascii="Calibri" w:hAnsi="Calibri" w:cs="Calibri"/>
          <w:i/>
          <w:sz w:val="22"/>
          <w:szCs w:val="22"/>
        </w:rPr>
        <w:t xml:space="preserve">Mob.: </w:t>
      </w:r>
      <w:r w:rsidR="00A57A3C" w:rsidRPr="009A425F">
        <w:rPr>
          <w:rFonts w:ascii="Calibri" w:hAnsi="Calibri" w:cs="Calibri"/>
          <w:i/>
          <w:sz w:val="22"/>
          <w:szCs w:val="22"/>
        </w:rPr>
        <w:t>733 666 008</w:t>
      </w:r>
      <w:r w:rsidRPr="009A425F">
        <w:rPr>
          <w:rFonts w:ascii="Calibri" w:hAnsi="Calibri" w:cs="Calibri"/>
          <w:i/>
          <w:sz w:val="22"/>
          <w:szCs w:val="22"/>
        </w:rPr>
        <w:t xml:space="preserve">, tel: 224 240 897, mail: </w:t>
      </w:r>
      <w:hyperlink r:id="rId8" w:history="1">
        <w:r w:rsidRPr="009A425F">
          <w:rPr>
            <w:rStyle w:val="Hypertextovodkaz"/>
            <w:rFonts w:ascii="Calibri" w:hAnsi="Calibri" w:cs="Calibri"/>
            <w:i/>
            <w:sz w:val="22"/>
            <w:szCs w:val="22"/>
          </w:rPr>
          <w:t>bures@transparency.cz</w:t>
        </w:r>
      </w:hyperlink>
    </w:p>
    <w:p w:rsidR="00CB1229" w:rsidRPr="009A425F" w:rsidRDefault="00CB1229" w:rsidP="00CB1229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 w:rsidRPr="00CB1229">
        <w:rPr>
          <w:rFonts w:ascii="Calibri" w:hAnsi="Calibri" w:cs="Calibri"/>
          <w:i/>
          <w:sz w:val="22"/>
          <w:szCs w:val="22"/>
        </w:rPr>
        <w:t xml:space="preserve">David Ondráčka, </w:t>
      </w:r>
      <w:r w:rsidRPr="009A425F">
        <w:rPr>
          <w:rFonts w:ascii="Calibri" w:hAnsi="Calibri" w:cs="Calibri"/>
          <w:i/>
          <w:sz w:val="22"/>
          <w:szCs w:val="22"/>
        </w:rPr>
        <w:t>Transparency International - Česká republika</w:t>
      </w:r>
    </w:p>
    <w:p w:rsidR="00A57A3C" w:rsidRPr="00CB1229" w:rsidRDefault="00CB1229" w:rsidP="00CB1229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Mob.: </w:t>
      </w:r>
      <w:r w:rsidR="004D0C2E" w:rsidRPr="004D0C2E">
        <w:rPr>
          <w:rFonts w:ascii="Calibri" w:hAnsi="Calibri" w:cs="Calibri"/>
          <w:bCs/>
          <w:i/>
          <w:iCs/>
          <w:sz w:val="22"/>
          <w:szCs w:val="22"/>
        </w:rPr>
        <w:t>605 814 786</w:t>
      </w:r>
      <w:r w:rsidR="004D0C2E"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 xml:space="preserve">tel.: 224 2408 95, mail: </w:t>
      </w:r>
      <w:hyperlink r:id="rId9" w:history="1">
        <w:r w:rsidRPr="00E42111">
          <w:rPr>
            <w:rStyle w:val="Hypertextovodkaz"/>
            <w:rFonts w:ascii="Calibri" w:hAnsi="Calibri" w:cs="Calibri"/>
            <w:i/>
            <w:sz w:val="22"/>
            <w:szCs w:val="22"/>
          </w:rPr>
          <w:t>ondracka@transparency.cz</w:t>
        </w:r>
      </w:hyperlink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DE2A78" w:rsidRDefault="00DE2A78" w:rsidP="008A66E1">
      <w:pPr>
        <w:rPr>
          <w:rFonts w:ascii="Calibri" w:hAnsi="Calibri" w:cs="Calibri"/>
          <w:i/>
          <w:iCs/>
          <w:noProof/>
          <w:color w:val="31849B"/>
          <w:sz w:val="22"/>
          <w:szCs w:val="22"/>
        </w:rPr>
      </w:pPr>
    </w:p>
    <w:p w:rsidR="00ED0AF6" w:rsidRPr="009A425F" w:rsidRDefault="00ED0AF6" w:rsidP="008A66E1">
      <w:pPr>
        <w:rPr>
          <w:rFonts w:ascii="Calibri" w:hAnsi="Calibri" w:cs="Calibri"/>
          <w:i/>
          <w:iCs/>
          <w:noProof/>
          <w:color w:val="31849B"/>
          <w:sz w:val="22"/>
          <w:szCs w:val="22"/>
          <w:u w:val="single"/>
        </w:rPr>
      </w:pPr>
      <w:r w:rsidRPr="009A425F">
        <w:rPr>
          <w:rFonts w:ascii="Calibri" w:hAnsi="Calibri" w:cs="Calibri"/>
          <w:i/>
          <w:iCs/>
          <w:noProof/>
          <w:color w:val="31849B"/>
          <w:sz w:val="22"/>
          <w:szCs w:val="22"/>
        </w:rPr>
        <w:t xml:space="preserve">Transparency International - Česká republika, o.p.s. -  hlídáme veřejný zájem, hájíme efektivní a odpovědnou správu země. Podpořte boj proti korupci, více na </w:t>
      </w:r>
      <w:hyperlink r:id="rId10" w:tgtFrame="_blank" w:history="1">
        <w:r w:rsidRPr="009A425F">
          <w:rPr>
            <w:rStyle w:val="Hypertextovodkaz"/>
            <w:rFonts w:ascii="Calibri" w:hAnsi="Calibri" w:cs="Calibri"/>
            <w:i/>
            <w:iCs/>
            <w:noProof/>
            <w:sz w:val="22"/>
            <w:szCs w:val="22"/>
          </w:rPr>
          <w:t>www.transparency.cz</w:t>
        </w:r>
      </w:hyperlink>
    </w:p>
    <w:p w:rsidR="00ED0AF6" w:rsidRPr="009A425F" w:rsidRDefault="00ED0AF6" w:rsidP="008A66E1">
      <w:pPr>
        <w:rPr>
          <w:rFonts w:ascii="Calibri" w:hAnsi="Calibri" w:cs="Calibri"/>
          <w:noProof/>
          <w:color w:val="000000"/>
          <w:sz w:val="22"/>
          <w:szCs w:val="22"/>
        </w:rPr>
      </w:pPr>
    </w:p>
    <w:p w:rsidR="00E22D31" w:rsidRPr="009A425F" w:rsidRDefault="00146FF0" w:rsidP="008A66E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2116129" cy="246490"/>
            <wp:effectExtent l="0" t="0" r="0" b="1270"/>
            <wp:docPr id="2" name="Obrázek 1" descr="Popis: Popis: Popis: cid:image003.jpg@01CC7F7B.DBED9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cid:image003.jpg@01CC7F7B.DBED9FF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67" cy="24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D31" w:rsidRPr="009A425F" w:rsidSect="00E93B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5F" w:rsidRDefault="008F265F" w:rsidP="00A62953">
      <w:r>
        <w:separator/>
      </w:r>
    </w:p>
  </w:endnote>
  <w:endnote w:type="continuationSeparator" w:id="0">
    <w:p w:rsidR="008F265F" w:rsidRDefault="008F265F" w:rsidP="00A6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hem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5F" w:rsidRDefault="008F265F" w:rsidP="00A62953">
      <w:r>
        <w:separator/>
      </w:r>
    </w:p>
  </w:footnote>
  <w:footnote w:type="continuationSeparator" w:id="0">
    <w:p w:rsidR="008F265F" w:rsidRDefault="008F265F" w:rsidP="00A62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29" w:rsidRDefault="00CB1229" w:rsidP="00A62953">
    <w:pPr>
      <w:pStyle w:val="Zhlav"/>
    </w:pPr>
    <w:r>
      <w:rPr>
        <w:noProof/>
      </w:rPr>
      <w:drawing>
        <wp:inline distT="0" distB="0" distL="0" distR="0">
          <wp:extent cx="2186305" cy="294005"/>
          <wp:effectExtent l="19050" t="0" r="4445" b="0"/>
          <wp:docPr id="3" name="obrázek 1" descr="Z:\PODKLADY PRO TISK\LOGO\Logo TIC\logo_TIC_česká ver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ODKLADY PRO TISK\LOGO\Logo TIC\logo_TIC_česká ver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1229" w:rsidRPr="00F60D7A" w:rsidRDefault="00CB1229" w:rsidP="00A62953">
    <w:pPr>
      <w:pStyle w:val="Zhlav"/>
      <w:rPr>
        <w:rFonts w:ascii="Arial" w:hAnsi="Arial" w:cs="Levenim MT"/>
        <w:color w:val="31849B"/>
        <w:sz w:val="10"/>
        <w:szCs w:val="10"/>
      </w:rPr>
    </w:pPr>
  </w:p>
  <w:p w:rsidR="00CB1229" w:rsidRPr="00B22F72" w:rsidRDefault="00CB1229" w:rsidP="00A62953">
    <w:pPr>
      <w:pStyle w:val="Zhlav"/>
      <w:rPr>
        <w:rFonts w:ascii="Arial" w:hAnsi="Arial" w:cs="Levenim MT"/>
        <w:color w:val="31849B"/>
        <w:sz w:val="4"/>
        <w:szCs w:val="4"/>
      </w:rPr>
    </w:pPr>
    <w:r w:rsidRPr="00120C7F">
      <w:rPr>
        <w:rFonts w:ascii="Arial" w:hAnsi="Arial" w:cs="Levenim MT"/>
        <w:color w:val="31849B"/>
        <w:sz w:val="18"/>
        <w:szCs w:val="18"/>
      </w:rPr>
      <w:t xml:space="preserve">           </w:t>
    </w:r>
  </w:p>
  <w:p w:rsidR="00CB1229" w:rsidRPr="00B22F72" w:rsidRDefault="00CB1229" w:rsidP="00A62953">
    <w:pPr>
      <w:pStyle w:val="Zhlav"/>
      <w:rPr>
        <w:rFonts w:ascii="Arial" w:hAnsi="Arial" w:cs="Levenim MT"/>
        <w:i/>
      </w:rPr>
    </w:pPr>
    <w:r>
      <w:rPr>
        <w:rFonts w:ascii="Arial" w:hAnsi="Arial" w:cs="Levenim MT"/>
        <w:i/>
        <w:color w:val="31849B"/>
        <w:sz w:val="18"/>
        <w:szCs w:val="18"/>
      </w:rPr>
      <w:t xml:space="preserve"> </w:t>
    </w:r>
    <w:r w:rsidRPr="00B22F72">
      <w:rPr>
        <w:rFonts w:ascii="Arial" w:hAnsi="Arial" w:cs="Levenim MT"/>
        <w:i/>
        <w:color w:val="31849B"/>
        <w:sz w:val="18"/>
        <w:szCs w:val="18"/>
      </w:rPr>
      <w:t>Hlídáme veřejný zájem, hájíme efektivní a odpovědnou správu země.</w:t>
    </w:r>
  </w:p>
  <w:p w:rsidR="00CB1229" w:rsidRDefault="00CB12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1464"/>
    <w:multiLevelType w:val="hybridMultilevel"/>
    <w:tmpl w:val="EE688F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224204"/>
    <w:multiLevelType w:val="hybridMultilevel"/>
    <w:tmpl w:val="02641E48"/>
    <w:lvl w:ilvl="0" w:tplc="2E3E88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53"/>
    <w:rsid w:val="00040726"/>
    <w:rsid w:val="000424A3"/>
    <w:rsid w:val="000468B3"/>
    <w:rsid w:val="00085E90"/>
    <w:rsid w:val="00094992"/>
    <w:rsid w:val="000C5E81"/>
    <w:rsid w:val="00146FF0"/>
    <w:rsid w:val="001D34F9"/>
    <w:rsid w:val="00210225"/>
    <w:rsid w:val="0021318C"/>
    <w:rsid w:val="0022678F"/>
    <w:rsid w:val="002318E5"/>
    <w:rsid w:val="002577CA"/>
    <w:rsid w:val="00273CDA"/>
    <w:rsid w:val="002B5C3E"/>
    <w:rsid w:val="002D00F7"/>
    <w:rsid w:val="003120FF"/>
    <w:rsid w:val="00364736"/>
    <w:rsid w:val="00376756"/>
    <w:rsid w:val="00381C3C"/>
    <w:rsid w:val="003A127C"/>
    <w:rsid w:val="003B797D"/>
    <w:rsid w:val="003C03B2"/>
    <w:rsid w:val="003C557F"/>
    <w:rsid w:val="00472E98"/>
    <w:rsid w:val="004C35D1"/>
    <w:rsid w:val="004C7924"/>
    <w:rsid w:val="004D0C2E"/>
    <w:rsid w:val="004D408D"/>
    <w:rsid w:val="004E1FEB"/>
    <w:rsid w:val="0053438E"/>
    <w:rsid w:val="005659BA"/>
    <w:rsid w:val="005B4C34"/>
    <w:rsid w:val="006478AF"/>
    <w:rsid w:val="00675B44"/>
    <w:rsid w:val="00687499"/>
    <w:rsid w:val="006A72F6"/>
    <w:rsid w:val="007025F9"/>
    <w:rsid w:val="007B1B7D"/>
    <w:rsid w:val="007B3393"/>
    <w:rsid w:val="007E5E6D"/>
    <w:rsid w:val="007F2436"/>
    <w:rsid w:val="00833200"/>
    <w:rsid w:val="00861B93"/>
    <w:rsid w:val="00886785"/>
    <w:rsid w:val="00893E77"/>
    <w:rsid w:val="008A66E1"/>
    <w:rsid w:val="008F265F"/>
    <w:rsid w:val="00945273"/>
    <w:rsid w:val="009A425F"/>
    <w:rsid w:val="00A57A3C"/>
    <w:rsid w:val="00A62953"/>
    <w:rsid w:val="00A71D90"/>
    <w:rsid w:val="00AF6B81"/>
    <w:rsid w:val="00BD1993"/>
    <w:rsid w:val="00BF27D0"/>
    <w:rsid w:val="00C831E1"/>
    <w:rsid w:val="00CA3EFB"/>
    <w:rsid w:val="00CB1229"/>
    <w:rsid w:val="00CB3086"/>
    <w:rsid w:val="00CB6C5E"/>
    <w:rsid w:val="00D01A24"/>
    <w:rsid w:val="00D05D79"/>
    <w:rsid w:val="00D40444"/>
    <w:rsid w:val="00D53717"/>
    <w:rsid w:val="00D92124"/>
    <w:rsid w:val="00DC67BE"/>
    <w:rsid w:val="00DE2A78"/>
    <w:rsid w:val="00DF2D19"/>
    <w:rsid w:val="00E2073A"/>
    <w:rsid w:val="00E22D31"/>
    <w:rsid w:val="00E57D7A"/>
    <w:rsid w:val="00E811FE"/>
    <w:rsid w:val="00E93B53"/>
    <w:rsid w:val="00EA21A3"/>
    <w:rsid w:val="00EB0A59"/>
    <w:rsid w:val="00ED0AF6"/>
    <w:rsid w:val="00F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95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62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2953"/>
  </w:style>
  <w:style w:type="paragraph" w:styleId="Zpat">
    <w:name w:val="footer"/>
    <w:basedOn w:val="Normln"/>
    <w:link w:val="ZpatChar"/>
    <w:uiPriority w:val="99"/>
    <w:semiHidden/>
    <w:unhideWhenUsed/>
    <w:rsid w:val="00A629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2953"/>
  </w:style>
  <w:style w:type="paragraph" w:styleId="Textbubliny">
    <w:name w:val="Balloon Text"/>
    <w:basedOn w:val="Normln"/>
    <w:link w:val="TextbublinyChar"/>
    <w:uiPriority w:val="99"/>
    <w:semiHidden/>
    <w:unhideWhenUsed/>
    <w:rsid w:val="00A62953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29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AF6"/>
    <w:pPr>
      <w:autoSpaceDE w:val="0"/>
      <w:autoSpaceDN w:val="0"/>
      <w:adjustRightInd w:val="0"/>
    </w:pPr>
    <w:rPr>
      <w:rFonts w:ascii="Arnhem CE" w:eastAsia="Times New Roman" w:hAnsi="Arnhem CE" w:cs="Arnhem CE"/>
      <w:color w:val="000000"/>
      <w:sz w:val="24"/>
      <w:szCs w:val="24"/>
    </w:rPr>
  </w:style>
  <w:style w:type="character" w:styleId="Hypertextovodkaz">
    <w:name w:val="Hyperlink"/>
    <w:rsid w:val="00ED0A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95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62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2953"/>
  </w:style>
  <w:style w:type="paragraph" w:styleId="Zpat">
    <w:name w:val="footer"/>
    <w:basedOn w:val="Normln"/>
    <w:link w:val="ZpatChar"/>
    <w:uiPriority w:val="99"/>
    <w:semiHidden/>
    <w:unhideWhenUsed/>
    <w:rsid w:val="00A629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2953"/>
  </w:style>
  <w:style w:type="paragraph" w:styleId="Textbubliny">
    <w:name w:val="Balloon Text"/>
    <w:basedOn w:val="Normln"/>
    <w:link w:val="TextbublinyChar"/>
    <w:uiPriority w:val="99"/>
    <w:semiHidden/>
    <w:unhideWhenUsed/>
    <w:rsid w:val="00A62953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29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AF6"/>
    <w:pPr>
      <w:autoSpaceDE w:val="0"/>
      <w:autoSpaceDN w:val="0"/>
      <w:adjustRightInd w:val="0"/>
    </w:pPr>
    <w:rPr>
      <w:rFonts w:ascii="Arnhem CE" w:eastAsia="Times New Roman" w:hAnsi="Arnhem CE" w:cs="Arnhem CE"/>
      <w:color w:val="000000"/>
      <w:sz w:val="24"/>
      <w:szCs w:val="24"/>
    </w:rPr>
  </w:style>
  <w:style w:type="character" w:styleId="Hypertextovodkaz">
    <w:name w:val="Hyperlink"/>
    <w:rsid w:val="00ED0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s@transparency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transparenc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dracka@transparenc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3702</CharactersWithSpaces>
  <SharedDoc>false</SharedDoc>
  <HLinks>
    <vt:vector size="18" baseType="variant">
      <vt:variant>
        <vt:i4>8257594</vt:i4>
      </vt:variant>
      <vt:variant>
        <vt:i4>6</vt:i4>
      </vt:variant>
      <vt:variant>
        <vt:i4>0</vt:i4>
      </vt:variant>
      <vt:variant>
        <vt:i4>5</vt:i4>
      </vt:variant>
      <vt:variant>
        <vt:lpwstr>http://www.transparency.cz/</vt:lpwstr>
      </vt:variant>
      <vt:variant>
        <vt:lpwstr/>
      </vt:variant>
      <vt:variant>
        <vt:i4>5505136</vt:i4>
      </vt:variant>
      <vt:variant>
        <vt:i4>3</vt:i4>
      </vt:variant>
      <vt:variant>
        <vt:i4>0</vt:i4>
      </vt:variant>
      <vt:variant>
        <vt:i4>5</vt:i4>
      </vt:variant>
      <vt:variant>
        <vt:lpwstr>mailto:bures@transparency.cz</vt:lpwstr>
      </vt:variant>
      <vt:variant>
        <vt:lpwstr/>
      </vt:variant>
      <vt:variant>
        <vt:i4>5374066</vt:i4>
      </vt:variant>
      <vt:variant>
        <vt:i4>0</vt:i4>
      </vt:variant>
      <vt:variant>
        <vt:i4>0</vt:i4>
      </vt:variant>
      <vt:variant>
        <vt:i4>5</vt:i4>
      </vt:variant>
      <vt:variant>
        <vt:lpwstr>mailto:jansa@transparency.cz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bures</dc:creator>
  <cp:lastModifiedBy>Tereza Kvášová</cp:lastModifiedBy>
  <cp:revision>2</cp:revision>
  <cp:lastPrinted>2012-03-21T17:16:00Z</cp:lastPrinted>
  <dcterms:created xsi:type="dcterms:W3CDTF">2012-03-26T09:41:00Z</dcterms:created>
  <dcterms:modified xsi:type="dcterms:W3CDTF">2012-03-26T09:41:00Z</dcterms:modified>
</cp:coreProperties>
</file>