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88" w:rsidRDefault="007F2FC3" w:rsidP="002A4888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F4BD5">
        <w:rPr>
          <w:rFonts w:cstheme="minorHAnsi"/>
          <w:b/>
          <w:sz w:val="24"/>
          <w:szCs w:val="24"/>
        </w:rPr>
        <w:t>TISKOVÁ ZPRÁVA</w:t>
      </w:r>
      <w:r w:rsidR="00121CFE" w:rsidRPr="00AF4BD5">
        <w:rPr>
          <w:rFonts w:cstheme="minorHAnsi"/>
          <w:b/>
          <w:sz w:val="24"/>
          <w:szCs w:val="24"/>
        </w:rPr>
        <w:t xml:space="preserve"> </w:t>
      </w:r>
    </w:p>
    <w:p w:rsidR="00D13F57" w:rsidRPr="00AF4BD5" w:rsidRDefault="00D13F57" w:rsidP="002A4888">
      <w:pPr>
        <w:spacing w:after="0"/>
        <w:rPr>
          <w:rFonts w:cstheme="minorHAnsi"/>
          <w:sz w:val="24"/>
          <w:szCs w:val="24"/>
        </w:rPr>
      </w:pPr>
      <w:r w:rsidRPr="002A4888">
        <w:rPr>
          <w:rFonts w:cstheme="minorHAnsi"/>
          <w:b/>
          <w:sz w:val="24"/>
          <w:szCs w:val="24"/>
        </w:rPr>
        <w:t>Pr</w:t>
      </w:r>
      <w:r w:rsidR="002A4888">
        <w:rPr>
          <w:rFonts w:cstheme="minorHAnsi"/>
          <w:b/>
          <w:sz w:val="24"/>
          <w:szCs w:val="24"/>
        </w:rPr>
        <w:t>aha,</w:t>
      </w:r>
      <w:r w:rsidRPr="002A4888">
        <w:rPr>
          <w:rFonts w:cstheme="minorHAnsi"/>
          <w:b/>
          <w:sz w:val="24"/>
          <w:szCs w:val="24"/>
        </w:rPr>
        <w:t xml:space="preserve"> </w:t>
      </w:r>
      <w:r w:rsidR="002A4888">
        <w:rPr>
          <w:rFonts w:cstheme="minorHAnsi"/>
          <w:b/>
          <w:sz w:val="24"/>
          <w:szCs w:val="24"/>
        </w:rPr>
        <w:t>22</w:t>
      </w:r>
      <w:r w:rsidR="004546A9" w:rsidRPr="002A4888">
        <w:rPr>
          <w:rFonts w:cstheme="minorHAnsi"/>
          <w:b/>
          <w:sz w:val="24"/>
          <w:szCs w:val="24"/>
        </w:rPr>
        <w:t xml:space="preserve">. </w:t>
      </w:r>
      <w:r w:rsidR="002A4888">
        <w:rPr>
          <w:rFonts w:cstheme="minorHAnsi"/>
          <w:b/>
          <w:sz w:val="24"/>
          <w:szCs w:val="24"/>
        </w:rPr>
        <w:t>listopadu</w:t>
      </w:r>
      <w:r w:rsidR="004546A9" w:rsidRPr="002A4888">
        <w:rPr>
          <w:rFonts w:cstheme="minorHAnsi"/>
          <w:b/>
          <w:sz w:val="24"/>
          <w:szCs w:val="24"/>
        </w:rPr>
        <w:t xml:space="preserve"> </w:t>
      </w:r>
      <w:r w:rsidRPr="002A4888">
        <w:rPr>
          <w:rFonts w:cstheme="minorHAnsi"/>
          <w:b/>
          <w:sz w:val="24"/>
          <w:szCs w:val="24"/>
        </w:rPr>
        <w:t>2011</w:t>
      </w:r>
    </w:p>
    <w:p w:rsidR="002A4888" w:rsidRDefault="002A4888" w:rsidP="002C74E8">
      <w:pPr>
        <w:pStyle w:val="Nadpis1"/>
        <w:jc w:val="center"/>
      </w:pPr>
      <w:r>
        <w:t xml:space="preserve">Na semináři </w:t>
      </w:r>
      <w:proofErr w:type="spellStart"/>
      <w:r>
        <w:t>Transparency</w:t>
      </w:r>
      <w:proofErr w:type="spellEnd"/>
      <w:r>
        <w:t xml:space="preserve"> padaly návrhy, jak transparentněji financovat politické strany a kontrolovat výdaje politických kampaní</w:t>
      </w:r>
    </w:p>
    <w:p w:rsidR="002A4888" w:rsidRPr="002A4888" w:rsidRDefault="002A4888" w:rsidP="002A4888">
      <w:pPr>
        <w:rPr>
          <w:lang w:eastAsia="en-US"/>
        </w:rPr>
      </w:pPr>
    </w:p>
    <w:p w:rsidR="002A4888" w:rsidRPr="00BB02A5" w:rsidRDefault="002A4888" w:rsidP="002A4888">
      <w:pPr>
        <w:jc w:val="both"/>
      </w:pPr>
      <w:proofErr w:type="spellStart"/>
      <w:r w:rsidRPr="00012F4E">
        <w:rPr>
          <w:rFonts w:cstheme="minorHAnsi"/>
          <w:b/>
        </w:rPr>
        <w:t>Transparency</w:t>
      </w:r>
      <w:proofErr w:type="spellEnd"/>
      <w:r w:rsidRPr="00012F4E">
        <w:rPr>
          <w:rFonts w:cstheme="minorHAnsi"/>
          <w:b/>
        </w:rPr>
        <w:t xml:space="preserve"> International dnes se Sociologickým ústavem AV ČR  a dalšími partnery v Praze uspořádala mezinárodní seminář „Zvýšení</w:t>
      </w:r>
      <w:r w:rsidRPr="00BB02A5">
        <w:rPr>
          <w:b/>
        </w:rPr>
        <w:t xml:space="preserve"> transparentnosti financování politických stran“.</w:t>
      </w:r>
      <w:r>
        <w:rPr>
          <w:b/>
        </w:rPr>
        <w:t xml:space="preserve"> </w:t>
      </w:r>
      <w:r w:rsidRPr="00BB02A5">
        <w:rPr>
          <w:b/>
        </w:rPr>
        <w:t xml:space="preserve">Jeho hlavním cílem bylo nalézt konsensus ohledně </w:t>
      </w:r>
      <w:r w:rsidR="002C74E8">
        <w:rPr>
          <w:rFonts w:cstheme="minorHAnsi"/>
          <w:b/>
        </w:rPr>
        <w:t>legislativních změn k</w:t>
      </w:r>
      <w:r w:rsidRPr="00BB02A5">
        <w:rPr>
          <w:rFonts w:cstheme="minorHAnsi"/>
          <w:b/>
        </w:rPr>
        <w:t xml:space="preserve"> vyšší transparentnost</w:t>
      </w:r>
      <w:r w:rsidR="002C74E8">
        <w:rPr>
          <w:rFonts w:cstheme="minorHAnsi"/>
          <w:b/>
        </w:rPr>
        <w:t>i</w:t>
      </w:r>
      <w:r w:rsidRPr="00BB02A5">
        <w:rPr>
          <w:rFonts w:cstheme="minorHAnsi"/>
          <w:b/>
        </w:rPr>
        <w:t xml:space="preserve"> financování </w:t>
      </w:r>
      <w:r w:rsidRPr="00BB02A5">
        <w:rPr>
          <w:b/>
        </w:rPr>
        <w:t xml:space="preserve">politických stran a volebních kampaní a </w:t>
      </w:r>
      <w:r w:rsidR="002C74E8">
        <w:rPr>
          <w:b/>
        </w:rPr>
        <w:t xml:space="preserve">efektivního </w:t>
      </w:r>
      <w:r w:rsidRPr="00BB02A5">
        <w:rPr>
          <w:b/>
        </w:rPr>
        <w:t>dohled</w:t>
      </w:r>
      <w:r w:rsidR="002C74E8">
        <w:rPr>
          <w:b/>
        </w:rPr>
        <w:t>u</w:t>
      </w:r>
      <w:r w:rsidRPr="00BB02A5">
        <w:rPr>
          <w:b/>
        </w:rPr>
        <w:t xml:space="preserve"> </w:t>
      </w:r>
      <w:r>
        <w:rPr>
          <w:b/>
        </w:rPr>
        <w:t>a veřejn</w:t>
      </w:r>
      <w:r w:rsidR="002C74E8">
        <w:rPr>
          <w:b/>
        </w:rPr>
        <w:t>é</w:t>
      </w:r>
      <w:r>
        <w:rPr>
          <w:b/>
        </w:rPr>
        <w:t xml:space="preserve"> kontrol</w:t>
      </w:r>
      <w:r w:rsidR="002C74E8">
        <w:rPr>
          <w:b/>
        </w:rPr>
        <w:t>y</w:t>
      </w:r>
      <w:r w:rsidRPr="00BB02A5">
        <w:rPr>
          <w:b/>
        </w:rPr>
        <w:t>. O zkušenostech a legislativě svých zemí v této oblasti hovořili na semináři zástupci Velké Británie, USA či Lotyšska</w:t>
      </w:r>
      <w:r>
        <w:rPr>
          <w:b/>
        </w:rPr>
        <w:t>, jejichž modely jsou inspirací pro českou situaci.</w:t>
      </w:r>
      <w:r w:rsidRPr="00BB02A5">
        <w:rPr>
          <w:b/>
        </w:rPr>
        <w:t xml:space="preserve"> Postoje českých politických stran </w:t>
      </w:r>
      <w:r w:rsidR="002C74E8">
        <w:rPr>
          <w:b/>
        </w:rPr>
        <w:t>p</w:t>
      </w:r>
      <w:r w:rsidRPr="00BB02A5">
        <w:rPr>
          <w:b/>
        </w:rPr>
        <w:t xml:space="preserve">ředstavili například Jiří Pospíšil z ODS, Jeroným Tejc z ČSSD, Jan Farský z TOP 09 nebo Karolína Peake z Věcí veřejných. Odborníci z ministerstev, </w:t>
      </w:r>
      <w:r w:rsidR="002C74E8">
        <w:rPr>
          <w:b/>
        </w:rPr>
        <w:t xml:space="preserve">politických stran, </w:t>
      </w:r>
      <w:r w:rsidRPr="00BB02A5">
        <w:rPr>
          <w:b/>
        </w:rPr>
        <w:t>nevládních organizací či akademické sféry pak navrhovali konkrétní řešení pro Českou republiku.</w:t>
      </w:r>
      <w:r w:rsidRPr="00BB02A5">
        <w:t xml:space="preserve">       </w:t>
      </w:r>
    </w:p>
    <w:p w:rsidR="002A4888" w:rsidRPr="00035F50" w:rsidRDefault="002A4888" w:rsidP="002A4888">
      <w:pPr>
        <w:jc w:val="both"/>
        <w:rPr>
          <w:b/>
        </w:rPr>
      </w:pPr>
      <w:r w:rsidRPr="00035F50">
        <w:rPr>
          <w:b/>
          <w:i/>
        </w:rPr>
        <w:t>„Zvýšení transparentnosti financování politických stran a volebních kampaní patří mezi klíčové úkoly protikorupční strategie, volají po něm nevládní organizace i mezinárodní instituce, jako Rada Evropy (skupina států GRECO),“</w:t>
      </w:r>
      <w:r w:rsidRPr="00035F50">
        <w:rPr>
          <w:b/>
        </w:rPr>
        <w:t xml:space="preserve"> komentoval aktuálnost semináře Radim Bureš z pořádající </w:t>
      </w:r>
      <w:proofErr w:type="spellStart"/>
      <w:r w:rsidRPr="00035F50">
        <w:rPr>
          <w:b/>
        </w:rPr>
        <w:t>Transparency</w:t>
      </w:r>
      <w:proofErr w:type="spellEnd"/>
      <w:r w:rsidRPr="00035F50">
        <w:rPr>
          <w:b/>
        </w:rPr>
        <w:t xml:space="preserve"> International.</w:t>
      </w:r>
    </w:p>
    <w:p w:rsidR="00CC418E" w:rsidRPr="00ED5F43" w:rsidRDefault="00CC418E" w:rsidP="00CC418E">
      <w:pPr>
        <w:jc w:val="both"/>
        <w:outlineLvl w:val="0"/>
      </w:pPr>
      <w:r w:rsidRPr="00035F50">
        <w:rPr>
          <w:b/>
        </w:rPr>
        <w:t xml:space="preserve">Seminář zahájila britská velvyslankyně </w:t>
      </w:r>
      <w:proofErr w:type="spellStart"/>
      <w:r w:rsidRPr="00035F50">
        <w:rPr>
          <w:b/>
        </w:rPr>
        <w:t>Sian</w:t>
      </w:r>
      <w:proofErr w:type="spellEnd"/>
      <w:r w:rsidRPr="00035F50">
        <w:rPr>
          <w:b/>
        </w:rPr>
        <w:t xml:space="preserve"> </w:t>
      </w:r>
      <w:proofErr w:type="spellStart"/>
      <w:r w:rsidRPr="00035F50">
        <w:rPr>
          <w:b/>
        </w:rPr>
        <w:t>MacLeod</w:t>
      </w:r>
      <w:proofErr w:type="spellEnd"/>
      <w:r w:rsidRPr="00035F50">
        <w:rPr>
          <w:b/>
        </w:rPr>
        <w:t xml:space="preserve">. </w:t>
      </w:r>
      <w:r w:rsidRPr="00035F50">
        <w:rPr>
          <w:b/>
          <w:i/>
        </w:rPr>
        <w:t xml:space="preserve">„Jako občanka, volička a plátkyně daní vím, že otázka financování politických stran je klíčová pro důvěru </w:t>
      </w:r>
      <w:r w:rsidRPr="00035F50">
        <w:rPr>
          <w:b/>
          <w:i/>
        </w:rPr>
        <w:t>veřejnosti</w:t>
      </w:r>
      <w:r w:rsidRPr="00035F50">
        <w:rPr>
          <w:b/>
          <w:i/>
        </w:rPr>
        <w:t xml:space="preserve"> v to, že představitelé země jednají v nejlepším zájmu občanů,“ </w:t>
      </w:r>
      <w:r w:rsidRPr="00035F50">
        <w:rPr>
          <w:b/>
        </w:rPr>
        <w:t>uvedla velvyslankyně.</w:t>
      </w:r>
      <w:r w:rsidRPr="00ED5F43">
        <w:t xml:space="preserve"> Seminář se </w:t>
      </w:r>
      <w:r w:rsidRPr="00ED5F43">
        <w:rPr>
          <w:rFonts w:cstheme="minorHAnsi"/>
        </w:rPr>
        <w:t>uskutečnil díky finanční podpoře velvyslanectví Velké Británie, USA, Lotyšska, Kanady</w:t>
      </w:r>
      <w:r>
        <w:rPr>
          <w:rFonts w:cstheme="minorHAnsi"/>
        </w:rPr>
        <w:t xml:space="preserve"> a Nizozemí a </w:t>
      </w:r>
      <w:r w:rsidRPr="007A7278">
        <w:rPr>
          <w:rFonts w:cstheme="minorHAnsi"/>
        </w:rPr>
        <w:t>Programu bezpečnostního</w:t>
      </w:r>
      <w:r>
        <w:rPr>
          <w:rFonts w:cstheme="minorHAnsi"/>
        </w:rPr>
        <w:t xml:space="preserve"> výzkumu České republiky</w:t>
      </w:r>
      <w:r w:rsidRPr="007A7278">
        <w:rPr>
          <w:rFonts w:cstheme="minorHAnsi"/>
        </w:rPr>
        <w:t>.</w:t>
      </w:r>
    </w:p>
    <w:p w:rsidR="002A4888" w:rsidRDefault="002A4888" w:rsidP="002A4888">
      <w:pPr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Mezi </w:t>
      </w:r>
      <w:r w:rsidR="002C74E8">
        <w:rPr>
          <w:rFonts w:cstheme="minorHAnsi"/>
        </w:rPr>
        <w:t xml:space="preserve">hlavními </w:t>
      </w:r>
      <w:r>
        <w:rPr>
          <w:rFonts w:cstheme="minorHAnsi"/>
        </w:rPr>
        <w:t>diskutovanými tématy semináře byla otázka transparentních volebních účtů, obsah a dostupnost výročních finančních zpráv, potřebnost zavedení limitů na dary právnických i fyzických osob a na volební výdaje</w:t>
      </w:r>
      <w:r w:rsidR="00035F50">
        <w:rPr>
          <w:rFonts w:cstheme="minorHAnsi"/>
        </w:rPr>
        <w:t xml:space="preserve"> a veřejná dostupnost těchto informací</w:t>
      </w:r>
      <w:r>
        <w:rPr>
          <w:rFonts w:cstheme="minorHAnsi"/>
        </w:rPr>
        <w:t>. Dále se diskutovalo případné zřízení úřadu, který by měl na financování politických stran dohlížet</w:t>
      </w:r>
      <w:r w:rsidR="002C74E8">
        <w:rPr>
          <w:rFonts w:cstheme="minorHAnsi"/>
        </w:rPr>
        <w:t xml:space="preserve"> a otázka jeho </w:t>
      </w:r>
      <w:r>
        <w:rPr>
          <w:rFonts w:cstheme="minorHAnsi"/>
        </w:rPr>
        <w:t>pravomoc</w:t>
      </w:r>
      <w:r w:rsidR="002C74E8">
        <w:rPr>
          <w:rFonts w:cstheme="minorHAnsi"/>
        </w:rPr>
        <w:t xml:space="preserve">í, </w:t>
      </w:r>
      <w:r>
        <w:rPr>
          <w:rFonts w:cstheme="minorHAnsi"/>
        </w:rPr>
        <w:t>nezávislost</w:t>
      </w:r>
      <w:r w:rsidR="002C74E8">
        <w:rPr>
          <w:rFonts w:cstheme="minorHAnsi"/>
        </w:rPr>
        <w:t xml:space="preserve">i a </w:t>
      </w:r>
      <w:r>
        <w:rPr>
          <w:rFonts w:cstheme="minorHAnsi"/>
        </w:rPr>
        <w:t>efektivnost</w:t>
      </w:r>
      <w:r w:rsidR="002C74E8">
        <w:rPr>
          <w:rFonts w:cstheme="minorHAnsi"/>
        </w:rPr>
        <w:t>i</w:t>
      </w:r>
      <w:r>
        <w:rPr>
          <w:rFonts w:cstheme="minorHAnsi"/>
        </w:rPr>
        <w:t>.</w:t>
      </w:r>
      <w:r w:rsidR="00035F50">
        <w:rPr>
          <w:rFonts w:cstheme="minorHAnsi"/>
        </w:rPr>
        <w:t xml:space="preserve"> Na semináři se diskutovala možnost omezení „černé“ kampaně, označování billboardů a dalších reklamních nosičů během kampaní, zveřejňování smluv se zadavateli reklamy nebo omezení možností stran si půjčovat peníze a zadlužovat se. TIC bude aktivně pracovat na vytvoření konsensu nad novými pravidly pro financování stran.    </w:t>
      </w:r>
    </w:p>
    <w:p w:rsidR="002A4888" w:rsidRPr="002A4888" w:rsidRDefault="002A4888" w:rsidP="002A4888">
      <w:pPr>
        <w:jc w:val="both"/>
        <w:outlineLvl w:val="0"/>
        <w:rPr>
          <w:rFonts w:cstheme="minorHAnsi"/>
        </w:rPr>
      </w:pPr>
    </w:p>
    <w:p w:rsidR="002A4888" w:rsidRPr="00BA2BE5" w:rsidRDefault="002A4888" w:rsidP="002A4888">
      <w:pPr>
        <w:rPr>
          <w:b/>
        </w:rPr>
      </w:pPr>
      <w:r w:rsidRPr="00BA2BE5">
        <w:rPr>
          <w:b/>
        </w:rPr>
        <w:t>Kontakt</w:t>
      </w:r>
      <w:r>
        <w:rPr>
          <w:b/>
        </w:rPr>
        <w:t xml:space="preserve"> pro média</w:t>
      </w:r>
      <w:r w:rsidRPr="00BA2BE5">
        <w:rPr>
          <w:b/>
        </w:rPr>
        <w:t>:</w:t>
      </w:r>
    </w:p>
    <w:p w:rsidR="002A4888" w:rsidRPr="002A4888" w:rsidRDefault="002A4888" w:rsidP="002A4888">
      <w:pPr>
        <w:rPr>
          <w:rFonts w:cstheme="minorHAnsi"/>
        </w:rPr>
      </w:pPr>
      <w:r w:rsidRPr="002A4888">
        <w:rPr>
          <w:rFonts w:cstheme="minorHAnsi"/>
        </w:rPr>
        <w:t>PhDr. Radim Bureš (TIC)</w:t>
      </w:r>
    </w:p>
    <w:p w:rsidR="007F2FC3" w:rsidRPr="00AF4BD5" w:rsidRDefault="002A4888" w:rsidP="00035F50">
      <w:pPr>
        <w:rPr>
          <w:rFonts w:cstheme="minorHAnsi"/>
          <w:color w:val="3366FF"/>
          <w:sz w:val="24"/>
          <w:szCs w:val="24"/>
          <w:lang w:val="pl-PL"/>
        </w:rPr>
      </w:pPr>
      <w:r w:rsidRPr="002A4888">
        <w:rPr>
          <w:rFonts w:cstheme="minorHAnsi"/>
        </w:rPr>
        <w:t xml:space="preserve"> mobil 733 666 008, e-mail: bures@transparency.cz  </w:t>
      </w:r>
    </w:p>
    <w:sectPr w:rsidR="007F2FC3" w:rsidRPr="00AF4BD5" w:rsidSect="00AF4BD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09" w:right="1418" w:bottom="1418" w:left="1418" w:header="851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C0" w:rsidRDefault="002A42C0">
      <w:r>
        <w:separator/>
      </w:r>
    </w:p>
  </w:endnote>
  <w:endnote w:type="continuationSeparator" w:id="0">
    <w:p w:rsidR="002A42C0" w:rsidRDefault="002A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nhem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GothamBookCE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44" w:rsidRDefault="00891944" w:rsidP="00BD5FFA">
    <w:pPr>
      <w:pBdr>
        <w:top w:val="single" w:sz="4" w:space="13" w:color="000000"/>
      </w:pBdr>
      <w:jc w:val="right"/>
    </w:pPr>
    <w:r w:rsidRPr="00AE3740">
      <w:rPr>
        <w:sz w:val="16"/>
        <w:szCs w:val="16"/>
      </w:rPr>
      <w:t xml:space="preserve">Stránka </w:t>
    </w:r>
    <w:r w:rsidR="0017689F" w:rsidRPr="00AE3740">
      <w:rPr>
        <w:sz w:val="16"/>
        <w:szCs w:val="16"/>
      </w:rPr>
      <w:fldChar w:fldCharType="begin"/>
    </w:r>
    <w:r w:rsidRPr="00AE3740">
      <w:rPr>
        <w:sz w:val="16"/>
        <w:szCs w:val="16"/>
      </w:rPr>
      <w:instrText xml:space="preserve"> PAGE </w:instrText>
    </w:r>
    <w:r w:rsidR="0017689F" w:rsidRPr="00AE3740">
      <w:rPr>
        <w:sz w:val="16"/>
        <w:szCs w:val="16"/>
      </w:rPr>
      <w:fldChar w:fldCharType="separate"/>
    </w:r>
    <w:r w:rsidR="00035F50">
      <w:rPr>
        <w:noProof/>
        <w:sz w:val="16"/>
        <w:szCs w:val="16"/>
      </w:rPr>
      <w:t>2</w:t>
    </w:r>
    <w:r w:rsidR="0017689F" w:rsidRPr="00AE3740">
      <w:rPr>
        <w:sz w:val="16"/>
        <w:szCs w:val="16"/>
      </w:rPr>
      <w:fldChar w:fldCharType="end"/>
    </w:r>
    <w:r w:rsidRPr="00AE3740">
      <w:rPr>
        <w:sz w:val="16"/>
        <w:szCs w:val="16"/>
      </w:rPr>
      <w:t xml:space="preserve"> z </w:t>
    </w:r>
    <w:r w:rsidR="0017689F" w:rsidRPr="00AE3740">
      <w:rPr>
        <w:sz w:val="16"/>
        <w:szCs w:val="16"/>
      </w:rPr>
      <w:fldChar w:fldCharType="begin"/>
    </w:r>
    <w:r w:rsidRPr="00AE3740">
      <w:rPr>
        <w:sz w:val="16"/>
        <w:szCs w:val="16"/>
      </w:rPr>
      <w:instrText xml:space="preserve"> NUMPAGES  </w:instrText>
    </w:r>
    <w:r w:rsidR="0017689F" w:rsidRPr="00AE3740">
      <w:rPr>
        <w:sz w:val="16"/>
        <w:szCs w:val="16"/>
      </w:rPr>
      <w:fldChar w:fldCharType="separate"/>
    </w:r>
    <w:r w:rsidR="00035F50">
      <w:rPr>
        <w:noProof/>
        <w:sz w:val="16"/>
        <w:szCs w:val="16"/>
      </w:rPr>
      <w:t>2</w:t>
    </w:r>
    <w:r w:rsidR="0017689F" w:rsidRPr="00AE3740">
      <w:rPr>
        <w:sz w:val="16"/>
        <w:szCs w:val="16"/>
      </w:rPr>
      <w:fldChar w:fldCharType="end"/>
    </w:r>
  </w:p>
  <w:p w:rsidR="00891944" w:rsidRDefault="008919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96" w:rsidRPr="00890496" w:rsidRDefault="00890496" w:rsidP="00890496">
    <w:pPr>
      <w:tabs>
        <w:tab w:val="left" w:pos="0"/>
      </w:tabs>
      <w:rPr>
        <w:color w:val="3366FF"/>
        <w:sz w:val="20"/>
        <w:szCs w:val="20"/>
        <w:lang w:val="pl-PL"/>
      </w:rPr>
    </w:pPr>
  </w:p>
  <w:p w:rsidR="00890496" w:rsidRDefault="00890496" w:rsidP="00890496">
    <w:pPr>
      <w:widowControl w:val="0"/>
      <w:pBdr>
        <w:top w:val="single" w:sz="4" w:space="0" w:color="000000"/>
      </w:pBdr>
      <w:autoSpaceDE w:val="0"/>
      <w:autoSpaceDN w:val="0"/>
      <w:adjustRightInd w:val="0"/>
      <w:spacing w:before="60"/>
      <w:jc w:val="center"/>
      <w:rPr>
        <w:rFonts w:ascii="GothamBookCE" w:hAnsi="GothamBookCE" w:cs="Arial"/>
        <w:color w:val="0000FF"/>
        <w:sz w:val="14"/>
        <w:szCs w:val="14"/>
      </w:rPr>
    </w:pPr>
  </w:p>
  <w:p w:rsidR="00891944" w:rsidRPr="00AE3DEE" w:rsidRDefault="00C5031E" w:rsidP="00890496">
    <w:pPr>
      <w:widowControl w:val="0"/>
      <w:pBdr>
        <w:top w:val="single" w:sz="4" w:space="0" w:color="000000"/>
      </w:pBdr>
      <w:autoSpaceDE w:val="0"/>
      <w:autoSpaceDN w:val="0"/>
      <w:adjustRightInd w:val="0"/>
      <w:spacing w:before="60"/>
      <w:jc w:val="center"/>
      <w:rPr>
        <w:rFonts w:ascii="GothamBookCE" w:hAnsi="GothamBookCE" w:cs="Arial"/>
        <w:sz w:val="14"/>
        <w:szCs w:val="14"/>
      </w:rPr>
    </w:pPr>
    <w:r w:rsidRPr="00AE3DEE">
      <w:rPr>
        <w:rFonts w:ascii="GothamBookCE" w:hAnsi="GothamBookCE" w:cs="Arial"/>
        <w:sz w:val="14"/>
        <w:szCs w:val="14"/>
      </w:rPr>
      <w:t>Sokolovská</w:t>
    </w:r>
    <w:r w:rsidR="00752161" w:rsidRPr="00AE3DEE">
      <w:rPr>
        <w:rFonts w:ascii="GothamBookCE" w:hAnsi="GothamBookCE" w:cs="Arial"/>
        <w:sz w:val="14"/>
        <w:szCs w:val="14"/>
      </w:rPr>
      <w:t xml:space="preserve"> </w:t>
    </w:r>
    <w:r w:rsidR="00AE3DEE" w:rsidRPr="00AE3DEE">
      <w:rPr>
        <w:rFonts w:ascii="GothamBookCE" w:hAnsi="GothamBookCE" w:cs="Arial"/>
        <w:sz w:val="14"/>
        <w:szCs w:val="14"/>
      </w:rPr>
      <w:t>260/</w:t>
    </w:r>
    <w:r w:rsidR="00752161" w:rsidRPr="00AE3DEE">
      <w:rPr>
        <w:rFonts w:ascii="GothamBookCE" w:hAnsi="GothamBookCE" w:cs="Arial"/>
        <w:sz w:val="14"/>
        <w:szCs w:val="14"/>
      </w:rPr>
      <w:t>143</w:t>
    </w:r>
    <w:r w:rsidR="0096177E" w:rsidRPr="00AE3DEE">
      <w:rPr>
        <w:rFonts w:ascii="GothamBookCE" w:hAnsi="GothamBookCE" w:cs="Arial"/>
        <w:sz w:val="14"/>
        <w:szCs w:val="14"/>
      </w:rPr>
      <w:t>, 180 00 Pr</w:t>
    </w:r>
    <w:r w:rsidRPr="00AE3DEE">
      <w:rPr>
        <w:rFonts w:ascii="GothamBookCE" w:hAnsi="GothamBookCE" w:cs="Arial"/>
        <w:sz w:val="14"/>
        <w:szCs w:val="14"/>
      </w:rPr>
      <w:t>aha 8, Česká republika</w:t>
    </w:r>
    <w:r w:rsidR="00891944" w:rsidRPr="00AE3DEE">
      <w:rPr>
        <w:rFonts w:ascii="GothamBookCE" w:hAnsi="GothamBookCE" w:cs="Arial"/>
        <w:sz w:val="14"/>
        <w:szCs w:val="14"/>
      </w:rPr>
      <w:br/>
      <w:t xml:space="preserve">Tel: +420 224 240 895-7 </w:t>
    </w:r>
    <w:r w:rsidR="00891944" w:rsidRPr="00AE3DEE">
      <w:rPr>
        <w:sz w:val="14"/>
        <w:szCs w:val="14"/>
      </w:rPr>
      <w:t>♦</w:t>
    </w:r>
    <w:r w:rsidR="00891944" w:rsidRPr="00AE3DEE">
      <w:rPr>
        <w:rFonts w:ascii="GothamBookCE" w:hAnsi="GothamBookCE" w:cs="Arial"/>
        <w:sz w:val="14"/>
        <w:szCs w:val="14"/>
      </w:rPr>
      <w:t xml:space="preserve"> Fax: +420 224 240 914 </w:t>
    </w:r>
    <w:r w:rsidR="00891944" w:rsidRPr="00AE3DEE">
      <w:rPr>
        <w:sz w:val="14"/>
        <w:szCs w:val="14"/>
      </w:rPr>
      <w:t>♦</w:t>
    </w:r>
    <w:r w:rsidR="00891944" w:rsidRPr="00AE3DEE">
      <w:rPr>
        <w:rFonts w:ascii="GothamBookCE" w:hAnsi="GothamBookCE" w:cs="Arial"/>
        <w:sz w:val="14"/>
        <w:szCs w:val="14"/>
      </w:rPr>
      <w:t xml:space="preserve"> www.transparency.cz</w:t>
    </w:r>
  </w:p>
  <w:p w:rsidR="00891944" w:rsidRDefault="00891944" w:rsidP="00AE374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C0" w:rsidRDefault="002A42C0">
      <w:r>
        <w:separator/>
      </w:r>
    </w:p>
  </w:footnote>
  <w:footnote w:type="continuationSeparator" w:id="0">
    <w:p w:rsidR="002A42C0" w:rsidRDefault="002A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44" w:rsidRDefault="00891944" w:rsidP="00511F16">
    <w:pPr>
      <w:pStyle w:val="Zhlav"/>
      <w:tabs>
        <w:tab w:val="clear" w:pos="4536"/>
        <w:tab w:val="clear" w:pos="9072"/>
        <w:tab w:val="left" w:pos="7067"/>
      </w:tabs>
    </w:pPr>
  </w:p>
  <w:p w:rsidR="00891944" w:rsidRDefault="00891944" w:rsidP="005921B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7C0" w:rsidRDefault="00095207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8EE958F" wp14:editId="33EC651E">
          <wp:simplePos x="0" y="0"/>
          <wp:positionH relativeFrom="column">
            <wp:posOffset>-309880</wp:posOffset>
          </wp:positionH>
          <wp:positionV relativeFrom="paragraph">
            <wp:posOffset>21590</wp:posOffset>
          </wp:positionV>
          <wp:extent cx="2057400" cy="276225"/>
          <wp:effectExtent l="19050" t="0" r="0" b="0"/>
          <wp:wrapNone/>
          <wp:docPr id="2" name="obrázek 1" descr="TI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IC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47C0" w:rsidRDefault="00A747C0">
    <w:pPr>
      <w:pStyle w:val="Zhlav"/>
    </w:pPr>
  </w:p>
  <w:p w:rsidR="00891944" w:rsidRPr="007072BC" w:rsidRDefault="00A747C0">
    <w:pPr>
      <w:pStyle w:val="Zhlav"/>
      <w:rPr>
        <w:rFonts w:ascii="Arial" w:hAnsi="Arial" w:cs="Levenim MT"/>
        <w:i/>
      </w:rPr>
    </w:pPr>
    <w:r w:rsidRPr="007072BC">
      <w:rPr>
        <w:rFonts w:ascii="Arial" w:hAnsi="Arial" w:cs="Levenim MT"/>
        <w:i/>
        <w:color w:val="31849B"/>
        <w:sz w:val="18"/>
        <w:szCs w:val="18"/>
      </w:rPr>
      <w:t>H</w:t>
    </w:r>
    <w:r w:rsidR="00AE3DEE">
      <w:rPr>
        <w:rFonts w:ascii="Arial" w:hAnsi="Arial" w:cs="Levenim MT"/>
        <w:i/>
        <w:color w:val="31849B"/>
        <w:sz w:val="18"/>
        <w:szCs w:val="18"/>
      </w:rPr>
      <w:t>lídáme veřejný zájem, h</w:t>
    </w:r>
    <w:r w:rsidRPr="007072BC">
      <w:rPr>
        <w:rFonts w:ascii="Arial" w:hAnsi="Arial" w:cs="Levenim MT"/>
        <w:i/>
        <w:color w:val="31849B"/>
        <w:sz w:val="18"/>
        <w:szCs w:val="18"/>
      </w:rPr>
      <w:t>ájíme efektivní a odpovědnou správu země.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C27"/>
    <w:multiLevelType w:val="hybridMultilevel"/>
    <w:tmpl w:val="9092B24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7114F"/>
    <w:multiLevelType w:val="hybridMultilevel"/>
    <w:tmpl w:val="6D3647F6"/>
    <w:lvl w:ilvl="0" w:tplc="2D5C76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F5099"/>
    <w:multiLevelType w:val="hybridMultilevel"/>
    <w:tmpl w:val="A93AC52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00FE7"/>
    <w:multiLevelType w:val="hybridMultilevel"/>
    <w:tmpl w:val="6FC8B62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31BA8"/>
    <w:multiLevelType w:val="hybridMultilevel"/>
    <w:tmpl w:val="7F1AA3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42F71"/>
    <w:multiLevelType w:val="hybridMultilevel"/>
    <w:tmpl w:val="9E603EA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D1008"/>
    <w:multiLevelType w:val="hybridMultilevel"/>
    <w:tmpl w:val="73BC6E74"/>
    <w:lvl w:ilvl="0" w:tplc="5262F27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5352B"/>
    <w:multiLevelType w:val="hybridMultilevel"/>
    <w:tmpl w:val="DD9C40B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37"/>
    <w:rsid w:val="00033476"/>
    <w:rsid w:val="00035F50"/>
    <w:rsid w:val="00036A36"/>
    <w:rsid w:val="00037426"/>
    <w:rsid w:val="00041EB0"/>
    <w:rsid w:val="000728C9"/>
    <w:rsid w:val="0008363F"/>
    <w:rsid w:val="00095207"/>
    <w:rsid w:val="000F46DB"/>
    <w:rsid w:val="001077D7"/>
    <w:rsid w:val="0011041F"/>
    <w:rsid w:val="00121CFE"/>
    <w:rsid w:val="001532DA"/>
    <w:rsid w:val="0017689F"/>
    <w:rsid w:val="00184E8F"/>
    <w:rsid w:val="001E769B"/>
    <w:rsid w:val="00224267"/>
    <w:rsid w:val="00256A63"/>
    <w:rsid w:val="00286EB8"/>
    <w:rsid w:val="002A3307"/>
    <w:rsid w:val="002A42C0"/>
    <w:rsid w:val="002A4888"/>
    <w:rsid w:val="002C74E8"/>
    <w:rsid w:val="002F1C7D"/>
    <w:rsid w:val="00333782"/>
    <w:rsid w:val="00352A3E"/>
    <w:rsid w:val="00391CC2"/>
    <w:rsid w:val="003A088E"/>
    <w:rsid w:val="003C5511"/>
    <w:rsid w:val="003C786C"/>
    <w:rsid w:val="003F0E06"/>
    <w:rsid w:val="003F34D5"/>
    <w:rsid w:val="00421442"/>
    <w:rsid w:val="004546A9"/>
    <w:rsid w:val="00460112"/>
    <w:rsid w:val="00490F37"/>
    <w:rsid w:val="004A4537"/>
    <w:rsid w:val="004B5E4E"/>
    <w:rsid w:val="004C3D3C"/>
    <w:rsid w:val="00511F16"/>
    <w:rsid w:val="00520FA1"/>
    <w:rsid w:val="0058073F"/>
    <w:rsid w:val="005921BF"/>
    <w:rsid w:val="00623100"/>
    <w:rsid w:val="0065192D"/>
    <w:rsid w:val="00654D75"/>
    <w:rsid w:val="00662873"/>
    <w:rsid w:val="006723FE"/>
    <w:rsid w:val="0067788B"/>
    <w:rsid w:val="00677C00"/>
    <w:rsid w:val="006978D1"/>
    <w:rsid w:val="007072BC"/>
    <w:rsid w:val="007224B7"/>
    <w:rsid w:val="00744F16"/>
    <w:rsid w:val="00752161"/>
    <w:rsid w:val="00756DBE"/>
    <w:rsid w:val="00760D60"/>
    <w:rsid w:val="007726C4"/>
    <w:rsid w:val="00775BF6"/>
    <w:rsid w:val="007A49AD"/>
    <w:rsid w:val="007C3945"/>
    <w:rsid w:val="007F2FC3"/>
    <w:rsid w:val="007F7F57"/>
    <w:rsid w:val="00807D26"/>
    <w:rsid w:val="008166EC"/>
    <w:rsid w:val="00843FDF"/>
    <w:rsid w:val="008505EF"/>
    <w:rsid w:val="00851E7D"/>
    <w:rsid w:val="00885767"/>
    <w:rsid w:val="00890496"/>
    <w:rsid w:val="00891944"/>
    <w:rsid w:val="008F238F"/>
    <w:rsid w:val="009104F5"/>
    <w:rsid w:val="009431F1"/>
    <w:rsid w:val="009459F9"/>
    <w:rsid w:val="0096177E"/>
    <w:rsid w:val="00A664DD"/>
    <w:rsid w:val="00A747C0"/>
    <w:rsid w:val="00AD1563"/>
    <w:rsid w:val="00AD40A0"/>
    <w:rsid w:val="00AE3740"/>
    <w:rsid w:val="00AE3DEE"/>
    <w:rsid w:val="00AF4BD5"/>
    <w:rsid w:val="00B17B85"/>
    <w:rsid w:val="00B21421"/>
    <w:rsid w:val="00B73496"/>
    <w:rsid w:val="00B965C0"/>
    <w:rsid w:val="00BB389A"/>
    <w:rsid w:val="00BB4C81"/>
    <w:rsid w:val="00BB5189"/>
    <w:rsid w:val="00BD5FFA"/>
    <w:rsid w:val="00BD6893"/>
    <w:rsid w:val="00C5031E"/>
    <w:rsid w:val="00C74950"/>
    <w:rsid w:val="00C776B5"/>
    <w:rsid w:val="00C80733"/>
    <w:rsid w:val="00C826E6"/>
    <w:rsid w:val="00C863FC"/>
    <w:rsid w:val="00CA590C"/>
    <w:rsid w:val="00CC09BC"/>
    <w:rsid w:val="00CC418E"/>
    <w:rsid w:val="00D00B05"/>
    <w:rsid w:val="00D13F57"/>
    <w:rsid w:val="00D538A2"/>
    <w:rsid w:val="00D64B7C"/>
    <w:rsid w:val="00D9306A"/>
    <w:rsid w:val="00D96277"/>
    <w:rsid w:val="00E07654"/>
    <w:rsid w:val="00E176B5"/>
    <w:rsid w:val="00E338CA"/>
    <w:rsid w:val="00E506C5"/>
    <w:rsid w:val="00E52808"/>
    <w:rsid w:val="00E67A80"/>
    <w:rsid w:val="00E90A07"/>
    <w:rsid w:val="00EA13FF"/>
    <w:rsid w:val="00F20475"/>
    <w:rsid w:val="00F272F9"/>
    <w:rsid w:val="00F45931"/>
    <w:rsid w:val="00F61415"/>
    <w:rsid w:val="00F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2FC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86E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5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rsid w:val="00CA5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511F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9617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9AD"/>
    <w:pPr>
      <w:autoSpaceDE w:val="0"/>
      <w:autoSpaceDN w:val="0"/>
      <w:adjustRightInd w:val="0"/>
    </w:pPr>
    <w:rPr>
      <w:rFonts w:ascii="Arnhem CE" w:hAnsi="Arnhem CE" w:cs="Arnhem CE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86EB8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286E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9431F1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9431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textovodkaz">
    <w:name w:val="Hyperlink"/>
    <w:basedOn w:val="Standardnpsmoodstavce"/>
    <w:rsid w:val="008904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2FC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86E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5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rsid w:val="00CA5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511F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9617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9AD"/>
    <w:pPr>
      <w:autoSpaceDE w:val="0"/>
      <w:autoSpaceDN w:val="0"/>
      <w:adjustRightInd w:val="0"/>
    </w:pPr>
    <w:rPr>
      <w:rFonts w:ascii="Arnhem CE" w:hAnsi="Arnhem CE" w:cs="Arnhem CE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86EB8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286E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9431F1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9431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textovodkaz">
    <w:name w:val="Hyperlink"/>
    <w:basedOn w:val="Standardnpsmoodstavce"/>
    <w:rsid w:val="00890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anek\Documents\Hlavi&#269;kov&#253;%20pap&#237;r%2020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8EA1-096D-4352-8407-8C23B50E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2011</Template>
  <TotalTime>16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Titul, Jméno, Příjmení</vt:lpstr>
    </vt:vector>
  </TitlesOfParts>
  <Company>Transparency International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Titul, Jméno, Příjmení</dc:title>
  <dc:creator>Stanislav Beranek</dc:creator>
  <cp:lastModifiedBy>David Ondráčka</cp:lastModifiedBy>
  <cp:revision>5</cp:revision>
  <cp:lastPrinted>2010-06-16T17:21:00Z</cp:lastPrinted>
  <dcterms:created xsi:type="dcterms:W3CDTF">2011-11-21T09:52:00Z</dcterms:created>
  <dcterms:modified xsi:type="dcterms:W3CDTF">2011-11-22T14:23:00Z</dcterms:modified>
</cp:coreProperties>
</file>