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C" w:rsidRPr="00DA6BC3" w:rsidRDefault="00DA6BC3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lang w:val="cs-CZ" w:eastAsia="hi-IN" w:bidi="hi-IN"/>
        </w:rPr>
      </w:pPr>
      <w:bookmarkStart w:id="0" w:name="_GoBack"/>
      <w:bookmarkEnd w:id="0"/>
      <w:r w:rsidRPr="00DA6BC3">
        <w:rPr>
          <w:rFonts w:ascii="Arial" w:eastAsia="Arial Unicode MS" w:hAnsi="Arial" w:cs="Arial"/>
          <w:b/>
          <w:kern w:val="1"/>
          <w:lang w:val="en-US" w:eastAsia="hi-IN" w:bidi="hi-IN"/>
        </w:rPr>
        <w:t xml:space="preserve">The EU Integrity System </w:t>
      </w:r>
      <w:r w:rsidR="003B3DC8">
        <w:rPr>
          <w:rFonts w:ascii="Arial" w:eastAsia="Arial Unicode MS" w:hAnsi="Arial" w:cs="Arial"/>
          <w:b/>
          <w:kern w:val="1"/>
          <w:lang w:val="en-US" w:eastAsia="hi-IN" w:bidi="hi-IN"/>
        </w:rPr>
        <w:t>r</w:t>
      </w:r>
      <w:r w:rsidRPr="00DA6BC3">
        <w:rPr>
          <w:rFonts w:ascii="Arial" w:eastAsia="Arial Unicode MS" w:hAnsi="Arial" w:cs="Arial"/>
          <w:b/>
          <w:kern w:val="1"/>
          <w:lang w:val="en-US" w:eastAsia="hi-IN" w:bidi="hi-IN"/>
        </w:rPr>
        <w:t>eport</w:t>
      </w:r>
      <w:r>
        <w:rPr>
          <w:rFonts w:ascii="Arial" w:eastAsia="Arial Unicode MS" w:hAnsi="Arial" w:cs="Arial"/>
          <w:b/>
          <w:kern w:val="1"/>
          <w:lang w:val="cs-CZ" w:eastAsia="hi-IN" w:bidi="hi-IN"/>
        </w:rPr>
        <w:t xml:space="preserve"> - </w:t>
      </w:r>
      <w:r w:rsidR="00A059CB" w:rsidRPr="00DA6BC3">
        <w:rPr>
          <w:rFonts w:ascii="Arial" w:eastAsia="Arial Unicode MS" w:hAnsi="Arial" w:cs="Arial"/>
          <w:b/>
          <w:kern w:val="1"/>
          <w:lang w:val="cs-CZ" w:eastAsia="hi-IN" w:bidi="hi-IN"/>
        </w:rPr>
        <w:t>S</w:t>
      </w:r>
      <w:r w:rsidR="00F5274C" w:rsidRPr="00DA6BC3">
        <w:rPr>
          <w:rFonts w:ascii="Arial" w:eastAsia="Arial Unicode MS" w:hAnsi="Arial" w:cs="Arial"/>
          <w:b/>
          <w:kern w:val="1"/>
          <w:lang w:val="cs-CZ" w:eastAsia="hi-IN" w:bidi="hi-IN"/>
        </w:rPr>
        <w:t>hrnutí</w:t>
      </w:r>
    </w:p>
    <w:p w:rsidR="00DA6BC3" w:rsidRPr="00A85B59" w:rsidRDefault="00DA6BC3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</w:pPr>
    </w:p>
    <w:p w:rsidR="00F5274C" w:rsidRPr="00A85B59" w:rsidRDefault="00F5274C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Můžeme si být jistí tím, že institucím EU nehrozí stejná rizika jako jednotlivým státům? Důvěra veřejnosti v instituce EU je obecně nízká a nedávné skandály zpochybňují integritu EU. Evropská kancelář EU př</w:t>
      </w:r>
      <w:r w:rsidR="0094745F"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ináší historicky první </w:t>
      </w: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shrnutí rizik korupce v institucích EU</w:t>
      </w:r>
      <w:r w:rsidR="00152541"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. </w:t>
      </w:r>
      <w:r w:rsidR="00152541" w:rsidRPr="00DA6BC3">
        <w:rPr>
          <w:rFonts w:ascii="Arial" w:eastAsia="Arial Unicode MS" w:hAnsi="Arial" w:cs="Arial"/>
          <w:b/>
          <w:i/>
          <w:kern w:val="1"/>
          <w:sz w:val="19"/>
          <w:szCs w:val="19"/>
          <w:lang w:val="en-US" w:eastAsia="hi-IN" w:bidi="hi-IN"/>
        </w:rPr>
        <w:t>T</w:t>
      </w:r>
      <w:r w:rsidR="0094745F" w:rsidRPr="00DA6BC3">
        <w:rPr>
          <w:rFonts w:ascii="Arial" w:eastAsia="Arial Unicode MS" w:hAnsi="Arial" w:cs="Arial"/>
          <w:b/>
          <w:i/>
          <w:kern w:val="1"/>
          <w:sz w:val="19"/>
          <w:szCs w:val="19"/>
          <w:lang w:val="en-US" w:eastAsia="hi-IN" w:bidi="hi-IN"/>
        </w:rPr>
        <w:t xml:space="preserve">he </w:t>
      </w:r>
      <w:r w:rsidRPr="00DA6BC3">
        <w:rPr>
          <w:rFonts w:ascii="Arial" w:eastAsia="Arial Unicode MS" w:hAnsi="Arial" w:cs="Arial"/>
          <w:b/>
          <w:i/>
          <w:kern w:val="1"/>
          <w:sz w:val="19"/>
          <w:szCs w:val="19"/>
          <w:lang w:val="en-US" w:eastAsia="hi-IN" w:bidi="hi-IN"/>
        </w:rPr>
        <w:t>EU Integrity System</w:t>
      </w:r>
      <w:r w:rsidRPr="00A85B59">
        <w:rPr>
          <w:rFonts w:ascii="Arial" w:eastAsia="Arial Unicode MS" w:hAnsi="Arial" w:cs="Arial"/>
          <w:b/>
          <w:i/>
          <w:kern w:val="1"/>
          <w:sz w:val="19"/>
          <w:szCs w:val="19"/>
          <w:lang w:val="cs-CZ" w:eastAsia="hi-IN" w:bidi="hi-IN"/>
        </w:rPr>
        <w:t xml:space="preserve"> report</w:t>
      </w: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odděluje mýty </w:t>
      </w:r>
      <w:proofErr w:type="gramStart"/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od</w:t>
      </w:r>
      <w:proofErr w:type="gramEnd"/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reality a přináší doporučení pro reformy. </w:t>
      </w:r>
    </w:p>
    <w:p w:rsidR="00F5274C" w:rsidRPr="00A85B59" w:rsidRDefault="00F5274C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</w:pPr>
    </w:p>
    <w:p w:rsidR="00F5274C" w:rsidRPr="00A85B59" w:rsidRDefault="00F5274C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Nedávná zpráva Evropské komise odhalila, že korupce je konstantní hrozbou pro integritu veřejného rozhodování v rámci celé EU. </w:t>
      </w:r>
      <w:r w:rsidR="00A059CB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Tato zpráva popisuje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roz</w:t>
      </w:r>
      <w:r w:rsidR="00A059CB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sah korupce ve všech 28 členských státech EU a poukazuje na vysoce rizikové aktivity jako financování politických stran, přidělování vládních zakázek a střet zájmů poslanců. Zpráva se shoduje s národními studiemi vypracovanými Transparency International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, které mimo jiné poukazují na pro</w:t>
      </w:r>
      <w:r w:rsidR="00A059CB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pojení mezi politikou a businessem, špatnou ochranu </w:t>
      </w:r>
      <w:proofErr w:type="spellStart"/>
      <w:r w:rsidR="00A059CB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whistleblowerů</w:t>
      </w:r>
      <w:proofErr w:type="spellEnd"/>
      <w:r w:rsidR="00A059CB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a bariéry v přístupu k informacím 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od státních orgánů</w:t>
      </w:r>
      <w:r w:rsidR="00A059CB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. </w:t>
      </w:r>
    </w:p>
    <w:p w:rsidR="00A059CB" w:rsidRPr="00A85B59" w:rsidRDefault="00A059CB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</w:p>
    <w:p w:rsidR="00A059CB" w:rsidRPr="00A85B59" w:rsidRDefault="00A059CB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Nicméně zpráva Evropské komise postrádala poslední 29. kapitolu – o evropských institucích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</w:t>
      </w:r>
      <w:r w:rsidR="00DA6BC3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samotných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. </w:t>
      </w:r>
      <w:r w:rsidRPr="00A85B59">
        <w:rPr>
          <w:rFonts w:ascii="Arial" w:eastAsia="Arial Unicode MS" w:hAnsi="Arial" w:cs="Arial"/>
          <w:b/>
          <w:i/>
          <w:kern w:val="1"/>
          <w:sz w:val="19"/>
          <w:szCs w:val="19"/>
          <w:lang w:val="cs-CZ" w:eastAsia="hi-IN" w:bidi="hi-IN"/>
        </w:rPr>
        <w:t>Pokud existují rizika na národní úrovni, jak moc jisti si můžeme být tím, že s</w:t>
      </w:r>
      <w:r w:rsidR="00DA6BC3">
        <w:rPr>
          <w:rFonts w:ascii="Arial" w:eastAsia="Arial Unicode MS" w:hAnsi="Arial" w:cs="Arial"/>
          <w:b/>
          <w:i/>
          <w:kern w:val="1"/>
          <w:sz w:val="19"/>
          <w:szCs w:val="19"/>
          <w:lang w:val="cs-CZ" w:eastAsia="hi-IN" w:bidi="hi-IN"/>
        </w:rPr>
        <w:t>e</w:t>
      </w:r>
      <w:r w:rsidRPr="00A85B59">
        <w:rPr>
          <w:rFonts w:ascii="Arial" w:eastAsia="Arial Unicode MS" w:hAnsi="Arial" w:cs="Arial"/>
          <w:b/>
          <w:i/>
          <w:kern w:val="1"/>
          <w:sz w:val="19"/>
          <w:szCs w:val="19"/>
          <w:lang w:val="cs-CZ" w:eastAsia="hi-IN" w:bidi="hi-IN"/>
        </w:rPr>
        <w:t xml:space="preserve"> v institucích a strukturách EU nevyskytuje korupce?</w:t>
      </w: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</w:t>
      </w:r>
    </w:p>
    <w:p w:rsidR="00F5274C" w:rsidRPr="00A85B59" w:rsidRDefault="00F5274C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eastAsia="hi-IN" w:bidi="hi-IN"/>
        </w:rPr>
      </w:pPr>
    </w:p>
    <w:p w:rsidR="00F5274C" w:rsidRPr="00A85B59" w:rsidRDefault="00A059CB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Občané EU si </w:t>
      </w:r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tím 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nejsou jisti: </w:t>
      </w:r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Výsledky </w:t>
      </w:r>
      <w:proofErr w:type="spellStart"/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Eurobarometru</w:t>
      </w:r>
      <w:proofErr w:type="spellEnd"/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z roku 2014 odhalily, že 70% evropské veřejnosti si myslí, v institucích EU existuje korupce. Toto je většinový názor v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e všech kromě 6 členských zemí.</w:t>
      </w:r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V</w:t>
      </w:r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e Švédsku toto číslo dosahuje 84% a v Německu 82%. Navíc si 52% Evropanů nemyslí, že </w:t>
      </w:r>
      <w:r w:rsidR="00152541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by </w:t>
      </w:r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instituce pomáha</w:t>
      </w:r>
      <w:r w:rsidR="00152541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ly</w:t>
      </w:r>
      <w:r w:rsidR="0094745F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snižovat korupci v Evropě</w:t>
      </w:r>
      <w:r w:rsidR="00F5274C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.</w:t>
      </w:r>
      <w:r w:rsidR="00F5274C" w:rsidRPr="00A85B59">
        <w:rPr>
          <w:rFonts w:ascii="Arial" w:eastAsia="Arial Unicode MS" w:hAnsi="Arial" w:cs="Arial"/>
          <w:kern w:val="1"/>
          <w:sz w:val="19"/>
          <w:szCs w:val="19"/>
          <w:vertAlign w:val="superscript"/>
          <w:lang w:val="cs-CZ" w:eastAsia="hi-IN" w:bidi="hi-IN"/>
        </w:rPr>
        <w:footnoteReference w:id="1"/>
      </w:r>
    </w:p>
    <w:p w:rsidR="0094745F" w:rsidRPr="00A85B59" w:rsidRDefault="0094745F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</w:p>
    <w:p w:rsidR="0094745F" w:rsidRPr="00A85B59" w:rsidRDefault="0094745F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S ročním rozpočtem EU přibližně 140 miliard EUR</w:t>
      </w:r>
      <w:r w:rsidR="00F5274C" w:rsidRPr="00A85B59">
        <w:rPr>
          <w:rFonts w:ascii="Arial" w:eastAsia="Arial Unicode MS" w:hAnsi="Arial" w:cs="Arial"/>
          <w:kern w:val="1"/>
          <w:sz w:val="19"/>
          <w:szCs w:val="19"/>
          <w:vertAlign w:val="superscript"/>
          <w:lang w:eastAsia="hi-IN" w:bidi="hi-IN"/>
        </w:rPr>
        <w:footnoteReference w:id="2"/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a velkým objemem legislativy proudícím přes Brusel, je v sázce mnoho, </w:t>
      </w:r>
      <w:r w:rsidR="00152541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pokud se budou ignorovat slabá místa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protikorupčních opatření. </w:t>
      </w:r>
    </w:p>
    <w:p w:rsidR="0094745F" w:rsidRPr="00A85B59" w:rsidRDefault="0094745F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</w:p>
    <w:p w:rsidR="0094745F" w:rsidRPr="00A85B59" w:rsidRDefault="0094745F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Zpráva </w:t>
      </w:r>
      <w:proofErr w:type="spellStart"/>
      <w:r w:rsidR="00152541"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t</w:t>
      </w: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he</w:t>
      </w:r>
      <w:proofErr w:type="spellEnd"/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EU Integrity </w:t>
      </w:r>
      <w:proofErr w:type="spellStart"/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S</w:t>
      </w:r>
      <w:r w:rsidR="00152541"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yste</w:t>
      </w: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m</w:t>
      </w:r>
      <w:proofErr w:type="spellEnd"/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</w:t>
      </w:r>
      <w:r w:rsidR="00152541"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(EUIS) je první komplexní analýzou toho, jak instituce EU podporují integritu, jak se vypořádávají s rizikem korupce a jak jejich strategie pomáhají s bojem proti korupci v Evropě.</w:t>
      </w:r>
      <w:r w:rsidR="003B3DC8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Popisuje</w:t>
      </w:r>
      <w:r w:rsidR="00152541"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existující pravidla a praxi v evropských institucích. 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Je první studií svého druhu</w:t>
      </w:r>
      <w:r w:rsidR="00152541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a 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výsledkem výzkumu prováděného</w:t>
      </w:r>
      <w:r w:rsidR="00152541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kanceláří TI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při EU</w:t>
      </w:r>
      <w:r w:rsidR="00152541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během devíti měsíců v 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letech</w:t>
      </w:r>
      <w:r w:rsidR="00152541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2013 a 2014. </w:t>
      </w: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 xml:space="preserve"> </w:t>
      </w:r>
    </w:p>
    <w:p w:rsidR="00152541" w:rsidRPr="00A85B59" w:rsidRDefault="00152541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</w:pPr>
    </w:p>
    <w:p w:rsidR="000E476E" w:rsidRPr="00A85B59" w:rsidRDefault="00152541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Studie zjistila, že v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evropském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 systému existuje dobrý základ, který podporuje integritu a etiku. Tento základ je stanoven obecnou strategií a pravidly přijatými za účelem prevence podvodu a korupc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e. </w:t>
      </w:r>
      <w:proofErr w:type="gramStart"/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N</w:t>
      </w:r>
      <w:r w:rsidR="000E476E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yní</w:t>
      </w:r>
      <w:proofErr w:type="gramEnd"/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existuje široká škála ustanovení, </w:t>
      </w:r>
      <w:proofErr w:type="gramStart"/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která</w:t>
      </w:r>
      <w:r w:rsidR="000E476E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:</w:t>
      </w:r>
      <w:proofErr w:type="gramEnd"/>
    </w:p>
    <w:p w:rsidR="00152541" w:rsidRPr="00A85B59" w:rsidRDefault="00152541" w:rsidP="000E476E">
      <w:pPr>
        <w:pStyle w:val="Odstavecseseznamem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chrání </w:t>
      </w:r>
      <w:r w:rsidR="000E476E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instituce EU a ty, kteří v nich pracují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,</w:t>
      </w:r>
      <w:r w:rsidR="000E476E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od nepatřičného vlivu,</w:t>
      </w:r>
    </w:p>
    <w:p w:rsidR="000E476E" w:rsidRPr="00A85B59" w:rsidRDefault="003B3DC8" w:rsidP="000E476E">
      <w:pPr>
        <w:pStyle w:val="Odstavecseseznamem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dávají veřejnosti právo na</w:t>
      </w:r>
      <w:r w:rsidR="000E476E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 </w:t>
      </w: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přístup</w:t>
      </w:r>
      <w:r w:rsidR="000E476E"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k informacím, které se týkají EU,</w:t>
      </w:r>
    </w:p>
    <w:p w:rsidR="000E476E" w:rsidRPr="00A85B59" w:rsidRDefault="000E476E" w:rsidP="000E476E">
      <w:pPr>
        <w:pStyle w:val="Odstavecseseznamem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umožňují vyšetřování podezření na špatnou správu, podvod a korupci.</w:t>
      </w:r>
    </w:p>
    <w:p w:rsidR="000E476E" w:rsidRPr="00A85B59" w:rsidRDefault="000E476E" w:rsidP="000E476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Občané i firmy mají příležitost podat stížnost nebo požadovat soudní projednání rozhodnutí EU, která se jich týkají. Všechny tyto kanály jsou v praxi aktivně využívány a celkově fungují dobře, i když se v institucích vyskytují odchylky.</w:t>
      </w:r>
    </w:p>
    <w:p w:rsidR="000E476E" w:rsidRPr="00A85B59" w:rsidRDefault="000E476E" w:rsidP="000E476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</w:p>
    <w:p w:rsidR="000E476E" w:rsidRPr="00A85B59" w:rsidRDefault="000E476E" w:rsidP="000E476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Nicméně tento základ je často podkopáván špatnou praxí, nedostatkem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politického vedení, ne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přidělení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m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dostatečného počtu zaměstnanců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, špatným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financování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m a nejasnostmi ohledně toho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, na koho se 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pravidla vztahují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. </w:t>
      </w:r>
      <w:r w:rsidRPr="00A85B59">
        <w:rPr>
          <w:rFonts w:ascii="Arial" w:eastAsia="Arial Unicode MS" w:hAnsi="Arial" w:cs="Arial"/>
          <w:b/>
          <w:kern w:val="1"/>
          <w:sz w:val="19"/>
          <w:szCs w:val="19"/>
          <w:lang w:val="cs-CZ" w:eastAsia="hi-IN" w:bidi="hi-IN"/>
        </w:rPr>
        <w:t>Výsledkem je, že i přes zlepšení celkového rámce, korupční rizika na úrovni EU přetrvávají.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Nejurgentnější z nich zahrnují neprůhlednost v legislativě EU a lobbingu, špatně řízený střet zájmů, slabou ochranu pro </w:t>
      </w:r>
      <w:proofErr w:type="spellStart"/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whistleblowery</w:t>
      </w:r>
      <w:proofErr w:type="spellEnd"/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a nízké sankce pro zkorumpované firmy. </w:t>
      </w:r>
    </w:p>
    <w:p w:rsidR="00A85B59" w:rsidRPr="00A85B59" w:rsidRDefault="00A85B59" w:rsidP="000E476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</w:p>
    <w:p w:rsidR="00A85B59" w:rsidRDefault="00A85B59" w:rsidP="000E476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Zpráva například upozorňuje na to, že existující pravidla EU týkající se transparentnosti jsou v praxi nevyužitelná kvůli k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omplexním postupům a neprůhledné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m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u vyjednávání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v rámci institucí EU, která </w:t>
      </w: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nespadají pod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</w:t>
      </w: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žádná </w:t>
      </w: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formální pravidla.</w:t>
      </w: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V rámci pokusu o zrychlení přijetí evrop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ské legislativy existuje trend neformálního</w:t>
      </w: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rozhodování, v rámci něhož se důležitým částem legislativního procesu nedostane dohledu a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důležitá vyjednávání se odehr</w:t>
      </w: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ají za zavřenými dveřmi. Stejně tak neexistují povinná pravidla pro lobbing na úrovni EU a veřejnosti zůstává utajeno, jak zájmy z vnějšku ovlivňují legislativu EU. </w:t>
      </w:r>
    </w:p>
    <w:p w:rsidR="00F5274C" w:rsidRDefault="00F5274C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eastAsia="hi-IN" w:bidi="hi-IN"/>
        </w:rPr>
      </w:pPr>
    </w:p>
    <w:p w:rsidR="00A85B59" w:rsidRPr="00A85B59" w:rsidRDefault="00A85B59" w:rsidP="00F5274C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</w:pPr>
      <w:r w:rsidRPr="00A85B59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Navíc neexistují důkazy, že finanční informace poskytnuté </w:t>
      </w:r>
      <w:r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evropskými komisaři a poslanci, jsou systematicky ověřované samotnými institucemi, což 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>podkopává efektivitu této základní ochrany proti střetu zájmů a nedovolenému obohacování. Výbory, které monitorují dodržování etických pravidel,</w:t>
      </w:r>
      <w:r w:rsidR="003B3DC8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jsou obsazeny</w:t>
      </w:r>
      <w:r w:rsidR="00DA6BC3">
        <w:rPr>
          <w:rFonts w:ascii="Arial" w:eastAsia="Arial Unicode MS" w:hAnsi="Arial" w:cs="Arial"/>
          <w:kern w:val="1"/>
          <w:sz w:val="19"/>
          <w:szCs w:val="19"/>
          <w:lang w:val="cs-CZ" w:eastAsia="hi-IN" w:bidi="hi-IN"/>
        </w:rPr>
        <w:t xml:space="preserve"> současnými nebo bývalými členy institucí, a proto nejsou nestranné. </w:t>
      </w:r>
    </w:p>
    <w:p w:rsidR="004B27FB" w:rsidRPr="00F5274C" w:rsidRDefault="003F4B87">
      <w:pPr>
        <w:rPr>
          <w:lang w:val="cs-CZ"/>
        </w:rPr>
      </w:pPr>
    </w:p>
    <w:sectPr w:rsidR="004B27FB" w:rsidRPr="00F5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4C" w:rsidRDefault="00F5274C" w:rsidP="00F5274C">
      <w:pPr>
        <w:spacing w:after="0" w:line="240" w:lineRule="auto"/>
      </w:pPr>
      <w:r>
        <w:separator/>
      </w:r>
    </w:p>
  </w:endnote>
  <w:endnote w:type="continuationSeparator" w:id="0">
    <w:p w:rsidR="00F5274C" w:rsidRDefault="00F5274C" w:rsidP="00F5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4C" w:rsidRDefault="00F5274C" w:rsidP="00F5274C">
      <w:pPr>
        <w:spacing w:after="0" w:line="240" w:lineRule="auto"/>
      </w:pPr>
      <w:r>
        <w:separator/>
      </w:r>
    </w:p>
  </w:footnote>
  <w:footnote w:type="continuationSeparator" w:id="0">
    <w:p w:rsidR="00F5274C" w:rsidRDefault="00F5274C" w:rsidP="00F5274C">
      <w:pPr>
        <w:spacing w:after="0" w:line="240" w:lineRule="auto"/>
      </w:pPr>
      <w:r>
        <w:continuationSeparator/>
      </w:r>
    </w:p>
  </w:footnote>
  <w:footnote w:id="1">
    <w:p w:rsidR="00F5274C" w:rsidRPr="00EA67A7" w:rsidRDefault="00F5274C" w:rsidP="00F5274C">
      <w:pPr>
        <w:pStyle w:val="Textpoznpodarou"/>
        <w:rPr>
          <w:rFonts w:ascii="Arial Narrow" w:hAnsi="Arial Narrow" w:cs="Calibri"/>
          <w:color w:val="636463"/>
          <w:sz w:val="15"/>
          <w:szCs w:val="15"/>
        </w:rPr>
      </w:pPr>
      <w:r w:rsidRPr="00EA67A7">
        <w:rPr>
          <w:rFonts w:ascii="Arial Narrow" w:hAnsi="Arial Narrow" w:cs="Calibri"/>
          <w:color w:val="636463"/>
          <w:sz w:val="15"/>
          <w:szCs w:val="15"/>
        </w:rPr>
        <w:footnoteRef/>
      </w:r>
      <w:r w:rsidRPr="00EA67A7">
        <w:rPr>
          <w:rFonts w:ascii="Arial Narrow" w:hAnsi="Arial Narrow" w:cs="Calibri"/>
          <w:color w:val="636463"/>
          <w:sz w:val="15"/>
          <w:szCs w:val="15"/>
        </w:rPr>
        <w:tab/>
        <w:t xml:space="preserve">European Commission (2014), Special </w:t>
      </w:r>
      <w:proofErr w:type="spellStart"/>
      <w:r w:rsidRPr="00EA67A7">
        <w:rPr>
          <w:rFonts w:ascii="Arial Narrow" w:hAnsi="Arial Narrow" w:cs="Calibri"/>
          <w:color w:val="636463"/>
          <w:sz w:val="15"/>
          <w:szCs w:val="15"/>
        </w:rPr>
        <w:t>Eurobarometer</w:t>
      </w:r>
      <w:proofErr w:type="spellEnd"/>
      <w:r w:rsidRPr="00EA67A7">
        <w:rPr>
          <w:rFonts w:ascii="Arial Narrow" w:hAnsi="Arial Narrow" w:cs="Calibri"/>
          <w:color w:val="636463"/>
          <w:sz w:val="15"/>
          <w:szCs w:val="15"/>
        </w:rPr>
        <w:t xml:space="preserve"> 397 – Corruption, pp. 40, 44, 61</w:t>
      </w:r>
    </w:p>
  </w:footnote>
  <w:footnote w:id="2">
    <w:p w:rsidR="00F5274C" w:rsidRPr="00EA67A7" w:rsidRDefault="00F5274C" w:rsidP="00F5274C">
      <w:pPr>
        <w:pStyle w:val="Textpoznpodarou"/>
        <w:rPr>
          <w:rFonts w:ascii="Arial Narrow" w:hAnsi="Arial Narrow" w:cs="Calibri"/>
          <w:color w:val="636463"/>
          <w:sz w:val="15"/>
          <w:szCs w:val="15"/>
        </w:rPr>
      </w:pPr>
      <w:r w:rsidRPr="00EA67A7">
        <w:rPr>
          <w:rFonts w:ascii="Arial Narrow" w:hAnsi="Arial Narrow" w:cs="Calibri"/>
          <w:color w:val="636463"/>
          <w:sz w:val="15"/>
          <w:szCs w:val="15"/>
        </w:rPr>
        <w:footnoteRef/>
      </w:r>
      <w:r w:rsidRPr="00EA67A7">
        <w:rPr>
          <w:rFonts w:ascii="Arial Narrow" w:hAnsi="Arial Narrow" w:cs="Calibri"/>
          <w:color w:val="636463"/>
          <w:sz w:val="15"/>
          <w:szCs w:val="15"/>
        </w:rPr>
        <w:tab/>
        <w:t xml:space="preserve">See </w:t>
      </w:r>
      <w:hyperlink r:id="rId1" w:history="1">
        <w:r w:rsidRPr="00EA67A7">
          <w:rPr>
            <w:rFonts w:ascii="Arial Narrow" w:hAnsi="Arial Narrow" w:cs="Calibri"/>
            <w:color w:val="636463"/>
            <w:sz w:val="15"/>
            <w:szCs w:val="15"/>
          </w:rPr>
          <w:t>http://ec.europa.eu/budget/figures/2014/2014_en.cfm</w:t>
        </w:r>
      </w:hyperlink>
      <w:r w:rsidRPr="00EA67A7">
        <w:rPr>
          <w:rFonts w:ascii="Arial Narrow" w:hAnsi="Arial Narrow" w:cs="Calibri"/>
          <w:color w:val="636463"/>
          <w:sz w:val="15"/>
          <w:szCs w:val="15"/>
        </w:rPr>
        <w:t>, and http://europa.eu/about-eu/basic-information/money/expenditure/index_en.htm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79"/>
    <w:multiLevelType w:val="hybridMultilevel"/>
    <w:tmpl w:val="EE84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6722"/>
    <w:multiLevelType w:val="hybridMultilevel"/>
    <w:tmpl w:val="9CEA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44"/>
    <w:rsid w:val="000E476E"/>
    <w:rsid w:val="00152541"/>
    <w:rsid w:val="001955A7"/>
    <w:rsid w:val="003B3DC8"/>
    <w:rsid w:val="003D2F44"/>
    <w:rsid w:val="003F4B87"/>
    <w:rsid w:val="00594275"/>
    <w:rsid w:val="0094745F"/>
    <w:rsid w:val="00A059CB"/>
    <w:rsid w:val="00A85B59"/>
    <w:rsid w:val="00DA6BC3"/>
    <w:rsid w:val="00F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4C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27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274C"/>
    <w:rPr>
      <w:rFonts w:ascii="Calibri" w:eastAsia="Calibri" w:hAnsi="Calibri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0E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4C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27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274C"/>
    <w:rPr>
      <w:rFonts w:ascii="Calibri" w:eastAsia="Calibri" w:hAnsi="Calibri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0E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figures/2014/2014_en.cf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Macková</dc:creator>
  <cp:lastModifiedBy>Eva Ksiazczak</cp:lastModifiedBy>
  <cp:revision>2</cp:revision>
  <dcterms:created xsi:type="dcterms:W3CDTF">2014-04-24T10:08:00Z</dcterms:created>
  <dcterms:modified xsi:type="dcterms:W3CDTF">2014-04-24T10:08:00Z</dcterms:modified>
</cp:coreProperties>
</file>